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4A5B" w14:textId="182D81E5" w:rsidR="00430ABB" w:rsidRPr="00CE1D67" w:rsidRDefault="00CE1D67" w:rsidP="008F4F28">
      <w:pPr>
        <w:pStyle w:val="Heading1"/>
        <w:jc w:val="center"/>
        <w:rPr>
          <w:b/>
          <w:bCs/>
        </w:rPr>
      </w:pPr>
      <w:r w:rsidRPr="00CE1D67">
        <w:rPr>
          <w:b/>
          <w:bCs/>
        </w:rPr>
        <w:t>ADM Data Processing Schedule</w:t>
      </w:r>
    </w:p>
    <w:p w14:paraId="65297BDB" w14:textId="77777777" w:rsidR="008F4F28" w:rsidRDefault="008F4F28" w:rsidP="008F4F28">
      <w:pPr>
        <w:spacing w:after="60"/>
        <w:jc w:val="center"/>
        <w:rPr>
          <w:i/>
          <w:iCs/>
          <w:szCs w:val="22"/>
        </w:rPr>
      </w:pPr>
      <w:r>
        <w:rPr>
          <w:i/>
          <w:iCs/>
          <w:szCs w:val="22"/>
        </w:rPr>
        <w:t>Schedule to the ADM Computing Ltd Master Services / Support Agreement</w:t>
      </w:r>
    </w:p>
    <w:p w14:paraId="4906C8D6" w14:textId="77777777" w:rsidR="000069DC" w:rsidRDefault="000069DC" w:rsidP="008F4F28">
      <w:pPr>
        <w:spacing w:after="60"/>
        <w:jc w:val="center"/>
        <w:rPr>
          <w:i/>
          <w:iCs/>
          <w:szCs w:val="22"/>
        </w:rPr>
      </w:pPr>
    </w:p>
    <w:p w14:paraId="2806E954" w14:textId="77777777" w:rsidR="000069DC" w:rsidRDefault="000069DC" w:rsidP="000069DC">
      <w:pPr>
        <w:spacing w:after="160" w:line="276" w:lineRule="auto"/>
      </w:pPr>
      <w:r>
        <w:rPr>
          <w:b/>
          <w:bCs/>
          <w:sz w:val="21"/>
          <w:szCs w:val="21"/>
        </w:rPr>
        <w:t xml:space="preserve">Parties: </w:t>
      </w:r>
      <w:r>
        <w:rPr>
          <w:sz w:val="21"/>
          <w:szCs w:val="21"/>
        </w:rPr>
        <w:t>ADM Computing Ltd, a company registered in England and Wales ("ADM", "Processor"), and the customer named in the Agreement ("Customer", "Controller"), together the "Parties".</w:t>
      </w:r>
    </w:p>
    <w:p w14:paraId="2C32046C" w14:textId="77777777" w:rsidR="000069DC" w:rsidRDefault="000069DC" w:rsidP="000069DC">
      <w:pPr>
        <w:spacing w:after="160" w:line="276" w:lineRule="auto"/>
      </w:pPr>
      <w:r>
        <w:rPr>
          <w:b/>
          <w:bCs/>
          <w:sz w:val="21"/>
          <w:szCs w:val="21"/>
        </w:rPr>
        <w:t xml:space="preserve">Status: </w:t>
      </w:r>
      <w:r>
        <w:rPr>
          <w:sz w:val="21"/>
          <w:szCs w:val="21"/>
        </w:rPr>
        <w:t>This Schedule forms part of, and is incorporated into, the Agreement between ADM and the Customer for the provision of IT managed services and support (the "Services"). This Schedule applies automatically to every Agreement referencing it and does not require separate execution unless the Customer requests a standalone version.</w:t>
      </w:r>
    </w:p>
    <w:p w14:paraId="15E072F6" w14:textId="77777777" w:rsidR="000069DC" w:rsidRDefault="000069DC" w:rsidP="000069DC">
      <w:pPr>
        <w:spacing w:after="160" w:line="276" w:lineRule="auto"/>
      </w:pPr>
      <w:r>
        <w:rPr>
          <w:b/>
          <w:bCs/>
          <w:sz w:val="21"/>
          <w:szCs w:val="21"/>
        </w:rPr>
        <w:t xml:space="preserve">Purpose: </w:t>
      </w:r>
      <w:r>
        <w:rPr>
          <w:sz w:val="21"/>
          <w:szCs w:val="21"/>
        </w:rPr>
        <w:t xml:space="preserve">This Schedule sets out the terms on which ADM will Process Personal Data on behalf of the Customer </w:t>
      </w:r>
      <w:proofErr w:type="gramStart"/>
      <w:r>
        <w:rPr>
          <w:sz w:val="21"/>
          <w:szCs w:val="21"/>
        </w:rPr>
        <w:t>in the course of</w:t>
      </w:r>
      <w:proofErr w:type="gramEnd"/>
      <w:r>
        <w:rPr>
          <w:sz w:val="21"/>
          <w:szCs w:val="21"/>
        </w:rPr>
        <w:t xml:space="preserve"> providing the </w:t>
      </w:r>
      <w:proofErr w:type="gramStart"/>
      <w:r>
        <w:rPr>
          <w:sz w:val="21"/>
          <w:szCs w:val="21"/>
        </w:rPr>
        <w:t>Services, and</w:t>
      </w:r>
      <w:proofErr w:type="gramEnd"/>
      <w:r>
        <w:rPr>
          <w:sz w:val="21"/>
          <w:szCs w:val="21"/>
        </w:rPr>
        <w:t xml:space="preserve"> is intended to satisfy Article 28(3) of the UK GDPR.</w:t>
      </w:r>
    </w:p>
    <w:p w14:paraId="5EA70508" w14:textId="77777777" w:rsidR="000069DC" w:rsidRDefault="000069DC" w:rsidP="000069DC">
      <w:pPr>
        <w:pStyle w:val="Heading1"/>
        <w:spacing w:before="240"/>
      </w:pPr>
      <w:r>
        <w:t>1. Definitions and Interpretation</w:t>
      </w:r>
    </w:p>
    <w:p w14:paraId="4878F08D" w14:textId="77777777" w:rsidR="000069DC" w:rsidRDefault="000069DC" w:rsidP="000069DC">
      <w:pPr>
        <w:spacing w:after="160" w:line="276" w:lineRule="auto"/>
      </w:pPr>
      <w:r>
        <w:rPr>
          <w:sz w:val="21"/>
          <w:szCs w:val="21"/>
        </w:rPr>
        <w:t>Terms below have the meanings given in the UK GDPR and the Data Protection Act 2018 unless otherwise defined. In the event of any conflict between this clause and UK GDPR, UK GDPR prevails.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8"/>
      </w:tblGrid>
      <w:tr w:rsidR="000069DC" w14:paraId="22066B3A" w14:textId="77777777" w:rsidTr="00885FE3">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62B13999" w14:textId="77777777" w:rsidR="000069DC" w:rsidRDefault="000069DC" w:rsidP="00885FE3">
            <w:r>
              <w:rPr>
                <w:b/>
                <w:bCs/>
                <w:sz w:val="19"/>
                <w:szCs w:val="19"/>
              </w:rPr>
              <w:t>Term</w:t>
            </w:r>
          </w:p>
        </w:tc>
        <w:tc>
          <w:tcPr>
            <w:tcW w:w="7238"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43FB7D65" w14:textId="77777777" w:rsidR="000069DC" w:rsidRDefault="000069DC" w:rsidP="00885FE3">
            <w:r>
              <w:rPr>
                <w:b/>
                <w:bCs/>
                <w:sz w:val="19"/>
                <w:szCs w:val="19"/>
              </w:rPr>
              <w:t>Meaning</w:t>
            </w:r>
          </w:p>
        </w:tc>
      </w:tr>
      <w:tr w:rsidR="000069DC" w14:paraId="095F46BF" w14:textId="77777777" w:rsidTr="00885FE3">
        <w:tc>
          <w:tcPr>
            <w:tcW w:w="24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6B4C5A3F" w14:textId="77777777" w:rsidR="000069DC" w:rsidRDefault="000069DC" w:rsidP="00885FE3">
            <w:r>
              <w:rPr>
                <w:sz w:val="19"/>
                <w:szCs w:val="19"/>
              </w:rPr>
              <w:t>UK GDPR</w:t>
            </w:r>
          </w:p>
        </w:tc>
        <w:tc>
          <w:tcPr>
            <w:tcW w:w="72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6B2F1C58" w14:textId="77777777" w:rsidR="000069DC" w:rsidRDefault="000069DC" w:rsidP="00885FE3">
            <w:r>
              <w:rPr>
                <w:sz w:val="19"/>
                <w:szCs w:val="19"/>
              </w:rPr>
              <w:t>The UK General Data Protection Regulation as retained in UK law under the Data Protection, Privacy and Electronic Communications (Amendments etc) (EU Exit) Regulations 2019, together with the Data Protection Act 2018.</w:t>
            </w:r>
          </w:p>
        </w:tc>
      </w:tr>
      <w:tr w:rsidR="000069DC" w14:paraId="4C55385C" w14:textId="77777777" w:rsidTr="00885FE3">
        <w:tc>
          <w:tcPr>
            <w:tcW w:w="24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2729BAB8" w14:textId="77777777" w:rsidR="000069DC" w:rsidRDefault="000069DC" w:rsidP="00885FE3">
            <w:r>
              <w:rPr>
                <w:sz w:val="19"/>
                <w:szCs w:val="19"/>
              </w:rPr>
              <w:t>Controller, Processor, Data Subject, Personal Data, Processing, Personal Data Breach, Special Category Data</w:t>
            </w:r>
          </w:p>
        </w:tc>
        <w:tc>
          <w:tcPr>
            <w:tcW w:w="72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06ECFA91" w14:textId="77777777" w:rsidR="000069DC" w:rsidRDefault="000069DC" w:rsidP="00885FE3">
            <w:r>
              <w:rPr>
                <w:sz w:val="19"/>
                <w:szCs w:val="19"/>
              </w:rPr>
              <w:t>As defined in Article 4 UK GDPR.</w:t>
            </w:r>
          </w:p>
        </w:tc>
      </w:tr>
      <w:tr w:rsidR="000069DC" w14:paraId="4B1A5F59" w14:textId="77777777" w:rsidTr="00885FE3">
        <w:tc>
          <w:tcPr>
            <w:tcW w:w="24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7C5FF749" w14:textId="77777777" w:rsidR="000069DC" w:rsidRDefault="000069DC" w:rsidP="00885FE3">
            <w:r>
              <w:rPr>
                <w:sz w:val="19"/>
                <w:szCs w:val="19"/>
              </w:rPr>
              <w:t>Sub-processor</w:t>
            </w:r>
          </w:p>
        </w:tc>
        <w:tc>
          <w:tcPr>
            <w:tcW w:w="72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089EB1DF" w14:textId="77777777" w:rsidR="000069DC" w:rsidRDefault="000069DC" w:rsidP="00885FE3">
            <w:r>
              <w:rPr>
                <w:sz w:val="19"/>
                <w:szCs w:val="19"/>
              </w:rPr>
              <w:t>Any third party engaged by ADM to Process Personal Data on behalf of the Customer in connection with the Services.</w:t>
            </w:r>
          </w:p>
        </w:tc>
      </w:tr>
      <w:tr w:rsidR="000069DC" w14:paraId="4F673C31" w14:textId="77777777" w:rsidTr="00885FE3">
        <w:tc>
          <w:tcPr>
            <w:tcW w:w="24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4DC8C108" w14:textId="77777777" w:rsidR="000069DC" w:rsidRDefault="000069DC" w:rsidP="00885FE3">
            <w:r>
              <w:rPr>
                <w:sz w:val="19"/>
                <w:szCs w:val="19"/>
              </w:rPr>
              <w:t>Agreement</w:t>
            </w:r>
          </w:p>
        </w:tc>
        <w:tc>
          <w:tcPr>
            <w:tcW w:w="72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29A238BC" w14:textId="77777777" w:rsidR="000069DC" w:rsidRDefault="000069DC" w:rsidP="00885FE3">
            <w:r>
              <w:rPr>
                <w:sz w:val="19"/>
                <w:szCs w:val="19"/>
              </w:rPr>
              <w:t>The underlying Master Services Agreement, support contract, order form, or terms of service between ADM and the Customer to which this Schedule is attached or into which it is incorporated by reference.</w:t>
            </w:r>
          </w:p>
        </w:tc>
      </w:tr>
      <w:tr w:rsidR="000069DC" w14:paraId="098C7E6F" w14:textId="77777777" w:rsidTr="00885FE3">
        <w:tc>
          <w:tcPr>
            <w:tcW w:w="24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467D10F9" w14:textId="77777777" w:rsidR="000069DC" w:rsidRDefault="000069DC" w:rsidP="00885FE3">
            <w:r>
              <w:rPr>
                <w:sz w:val="19"/>
                <w:szCs w:val="19"/>
              </w:rPr>
              <w:t>ICO</w:t>
            </w:r>
          </w:p>
        </w:tc>
        <w:tc>
          <w:tcPr>
            <w:tcW w:w="72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4700ECE2" w14:textId="77777777" w:rsidR="000069DC" w:rsidRDefault="000069DC" w:rsidP="00885FE3">
            <w:r>
              <w:rPr>
                <w:sz w:val="19"/>
                <w:szCs w:val="19"/>
              </w:rPr>
              <w:t>The UK Information Commissioner's Office, or any successor supervisory authority.</w:t>
            </w:r>
          </w:p>
        </w:tc>
      </w:tr>
    </w:tbl>
    <w:p w14:paraId="6DDB241D" w14:textId="77777777" w:rsidR="000069DC" w:rsidRDefault="000069DC" w:rsidP="000069DC">
      <w:pPr>
        <w:spacing w:before="200" w:after="100"/>
      </w:pPr>
      <w:r>
        <w:rPr>
          <w:b/>
          <w:bCs/>
          <w:sz w:val="21"/>
          <w:szCs w:val="21"/>
        </w:rPr>
        <w:t>2. Roles of the Parties</w:t>
      </w:r>
    </w:p>
    <w:p w14:paraId="0B056ACB" w14:textId="77777777" w:rsidR="000069DC" w:rsidRDefault="000069DC" w:rsidP="000069DC">
      <w:pPr>
        <w:spacing w:after="160" w:line="276" w:lineRule="auto"/>
      </w:pPr>
      <w:r>
        <w:rPr>
          <w:sz w:val="21"/>
          <w:szCs w:val="21"/>
        </w:rPr>
        <w:lastRenderedPageBreak/>
        <w:t>2.1 The Customer is the Controller and ADM is the Processor in respect of Personal Data Processed by ADM under the Agreement. Where ADM Processes Personal Data for its own purposes (e.g. billing, account administration, ADM's own regulatory compliance), ADM acts as an independent Controller in respect of that limited processing, which is not governed by this Schedule.</w:t>
      </w:r>
    </w:p>
    <w:p w14:paraId="69DEA3C4" w14:textId="77777777" w:rsidR="000069DC" w:rsidRDefault="000069DC" w:rsidP="000069DC">
      <w:pPr>
        <w:spacing w:after="160" w:line="276" w:lineRule="auto"/>
      </w:pPr>
      <w:r>
        <w:rPr>
          <w:sz w:val="21"/>
          <w:szCs w:val="21"/>
        </w:rPr>
        <w:t>2.2 Details of the subject matter, duration, nature and purpose of Processing, the types of Personal Data, and the categories of Data Subjects are set out in Annex 1.</w:t>
      </w:r>
    </w:p>
    <w:p w14:paraId="1D3D94FC" w14:textId="77777777" w:rsidR="000069DC" w:rsidRDefault="000069DC" w:rsidP="000069DC">
      <w:pPr>
        <w:spacing w:before="200" w:after="100"/>
      </w:pPr>
      <w:r>
        <w:rPr>
          <w:b/>
          <w:bCs/>
          <w:sz w:val="21"/>
          <w:szCs w:val="21"/>
        </w:rPr>
        <w:t>3. ADM's Obligations as Processor</w:t>
      </w:r>
    </w:p>
    <w:p w14:paraId="5E8947E9" w14:textId="77777777" w:rsidR="000069DC" w:rsidRDefault="000069DC" w:rsidP="000069DC">
      <w:pPr>
        <w:spacing w:after="160" w:line="276" w:lineRule="auto"/>
      </w:pPr>
      <w:r>
        <w:rPr>
          <w:sz w:val="21"/>
          <w:szCs w:val="21"/>
        </w:rPr>
        <w:t>ADM shall, in respect of Personal Data Processed under the Agreement:</w:t>
      </w:r>
    </w:p>
    <w:p w14:paraId="5398909B" w14:textId="77777777" w:rsidR="000069DC" w:rsidRDefault="000069DC" w:rsidP="000069DC">
      <w:pPr>
        <w:pStyle w:val="ListParagraph"/>
        <w:numPr>
          <w:ilvl w:val="0"/>
          <w:numId w:val="11"/>
        </w:numPr>
        <w:spacing w:after="80" w:line="276" w:lineRule="auto"/>
        <w:contextualSpacing w:val="0"/>
      </w:pPr>
      <w:r>
        <w:rPr>
          <w:sz w:val="21"/>
          <w:szCs w:val="21"/>
        </w:rPr>
        <w:t>Process Personal Data only on the Customer's documented instructions, including in relation to transfers of Personal Data to a third country, unless required to do otherwise by UK law, in which case ADM shall (where legally permitted) inform the Customer of that legal requirement before Processing;</w:t>
      </w:r>
    </w:p>
    <w:p w14:paraId="1EF077C8" w14:textId="77777777" w:rsidR="000069DC" w:rsidRDefault="000069DC" w:rsidP="000069DC">
      <w:pPr>
        <w:pStyle w:val="ListParagraph"/>
        <w:numPr>
          <w:ilvl w:val="0"/>
          <w:numId w:val="11"/>
        </w:numPr>
        <w:spacing w:after="80" w:line="276" w:lineRule="auto"/>
        <w:contextualSpacing w:val="0"/>
      </w:pPr>
      <w:r>
        <w:rPr>
          <w:sz w:val="21"/>
          <w:szCs w:val="21"/>
        </w:rPr>
        <w:t>promptly inform the Customer if, in ADM's opinion, an instruction infringes UK GDPR or other applicable data protection law;</w:t>
      </w:r>
    </w:p>
    <w:p w14:paraId="0A2FF599" w14:textId="77777777" w:rsidR="000069DC" w:rsidRDefault="000069DC" w:rsidP="000069DC">
      <w:pPr>
        <w:pStyle w:val="ListParagraph"/>
        <w:numPr>
          <w:ilvl w:val="0"/>
          <w:numId w:val="11"/>
        </w:numPr>
        <w:spacing w:after="80" w:line="276" w:lineRule="auto"/>
        <w:contextualSpacing w:val="0"/>
      </w:pPr>
      <w:r>
        <w:rPr>
          <w:sz w:val="21"/>
          <w:szCs w:val="21"/>
        </w:rPr>
        <w:t>ensure that persons authorised to Process the Personal Data have committed themselves to confidentiality or are under an appropriate statutory obligation of confidentiality;</w:t>
      </w:r>
    </w:p>
    <w:p w14:paraId="6CED9C10" w14:textId="77777777" w:rsidR="000069DC" w:rsidRDefault="000069DC" w:rsidP="000069DC">
      <w:pPr>
        <w:pStyle w:val="ListParagraph"/>
        <w:numPr>
          <w:ilvl w:val="0"/>
          <w:numId w:val="11"/>
        </w:numPr>
        <w:spacing w:after="80" w:line="276" w:lineRule="auto"/>
        <w:contextualSpacing w:val="0"/>
      </w:pPr>
      <w:r>
        <w:rPr>
          <w:sz w:val="21"/>
          <w:szCs w:val="21"/>
        </w:rPr>
        <w:t xml:space="preserve">implement appropriate technical and organisational measures to ensure a level of security appropriate to the risk, as set out in Annex 3, </w:t>
      </w:r>
      <w:proofErr w:type="gramStart"/>
      <w:r>
        <w:rPr>
          <w:sz w:val="21"/>
          <w:szCs w:val="21"/>
        </w:rPr>
        <w:t>taking into account</w:t>
      </w:r>
      <w:proofErr w:type="gramEnd"/>
      <w:r>
        <w:rPr>
          <w:sz w:val="21"/>
          <w:szCs w:val="21"/>
        </w:rPr>
        <w:t xml:space="preserve"> the state of the art, cost of implementation, and the nature, scope, context and purposes of Processing;</w:t>
      </w:r>
    </w:p>
    <w:p w14:paraId="7288F577" w14:textId="77777777" w:rsidR="000069DC" w:rsidRDefault="000069DC" w:rsidP="000069DC">
      <w:pPr>
        <w:pStyle w:val="ListParagraph"/>
        <w:numPr>
          <w:ilvl w:val="0"/>
          <w:numId w:val="11"/>
        </w:numPr>
        <w:spacing w:after="80" w:line="276" w:lineRule="auto"/>
        <w:contextualSpacing w:val="0"/>
      </w:pPr>
      <w:r>
        <w:rPr>
          <w:sz w:val="21"/>
          <w:szCs w:val="21"/>
        </w:rPr>
        <w:t>not engage another processor (Sub-processor) without prior specific or general written authorisation of the Customer, as set out in Clause 4;</w:t>
      </w:r>
    </w:p>
    <w:p w14:paraId="0B3DC68D" w14:textId="77777777" w:rsidR="000069DC" w:rsidRDefault="000069DC" w:rsidP="000069DC">
      <w:pPr>
        <w:pStyle w:val="ListParagraph"/>
        <w:numPr>
          <w:ilvl w:val="0"/>
          <w:numId w:val="11"/>
        </w:numPr>
        <w:spacing w:after="80" w:line="276" w:lineRule="auto"/>
        <w:contextualSpacing w:val="0"/>
      </w:pPr>
      <w:proofErr w:type="gramStart"/>
      <w:r>
        <w:rPr>
          <w:sz w:val="21"/>
          <w:szCs w:val="21"/>
        </w:rPr>
        <w:t>taking into account</w:t>
      </w:r>
      <w:proofErr w:type="gramEnd"/>
      <w:r>
        <w:rPr>
          <w:sz w:val="21"/>
          <w:szCs w:val="21"/>
        </w:rPr>
        <w:t xml:space="preserve"> the nature of the Processing, assist the Customer by appropriate technical and organisational measures, insofar as reasonably possible, for the fulfilment of the Customer's obligations to respond to requests for exercising Data Subjects' rights under Chapter III UK GDPR;</w:t>
      </w:r>
    </w:p>
    <w:p w14:paraId="5BF6CD7D" w14:textId="77777777" w:rsidR="000069DC" w:rsidRDefault="000069DC" w:rsidP="000069DC">
      <w:pPr>
        <w:pStyle w:val="ListParagraph"/>
        <w:numPr>
          <w:ilvl w:val="0"/>
          <w:numId w:val="11"/>
        </w:numPr>
        <w:spacing w:after="80" w:line="276" w:lineRule="auto"/>
        <w:contextualSpacing w:val="0"/>
      </w:pPr>
      <w:r>
        <w:rPr>
          <w:sz w:val="21"/>
          <w:szCs w:val="21"/>
        </w:rPr>
        <w:t xml:space="preserve">assist the Customer in ensuring compliance with its obligations under Articles 32 to 36 UK GDPR (security, breach notification, DPIAs, prior consultation), </w:t>
      </w:r>
      <w:proofErr w:type="gramStart"/>
      <w:r>
        <w:rPr>
          <w:sz w:val="21"/>
          <w:szCs w:val="21"/>
        </w:rPr>
        <w:t>taking into account</w:t>
      </w:r>
      <w:proofErr w:type="gramEnd"/>
      <w:r>
        <w:rPr>
          <w:sz w:val="21"/>
          <w:szCs w:val="21"/>
        </w:rPr>
        <w:t xml:space="preserve"> the nature of Processing and the information available to ADM;</w:t>
      </w:r>
    </w:p>
    <w:p w14:paraId="26360C14" w14:textId="77777777" w:rsidR="000069DC" w:rsidRDefault="000069DC" w:rsidP="000069DC">
      <w:pPr>
        <w:pStyle w:val="ListParagraph"/>
        <w:numPr>
          <w:ilvl w:val="0"/>
          <w:numId w:val="11"/>
        </w:numPr>
        <w:spacing w:after="80" w:line="276" w:lineRule="auto"/>
        <w:contextualSpacing w:val="0"/>
      </w:pPr>
      <w:r>
        <w:rPr>
          <w:sz w:val="21"/>
          <w:szCs w:val="21"/>
        </w:rPr>
        <w:t>at the Customer's election, delete or return all Personal Data to the Customer after the end of the provision of Services relating to Processing, and delete existing copies unless UK law requires storage of the Personal Data;</w:t>
      </w:r>
    </w:p>
    <w:p w14:paraId="027A22AD" w14:textId="77777777" w:rsidR="000069DC" w:rsidRDefault="000069DC" w:rsidP="000069DC">
      <w:pPr>
        <w:pStyle w:val="ListParagraph"/>
        <w:numPr>
          <w:ilvl w:val="0"/>
          <w:numId w:val="11"/>
        </w:numPr>
        <w:spacing w:after="80" w:line="276" w:lineRule="auto"/>
        <w:contextualSpacing w:val="0"/>
      </w:pPr>
      <w:r>
        <w:rPr>
          <w:sz w:val="21"/>
          <w:szCs w:val="21"/>
        </w:rPr>
        <w:t>make available to the Customer all information necessary to demonstrate compliance with the obligations in Article 28 UK GDPR, and allow for and contribute to audits, including inspections, conducted by the Customer or an auditor mandated by the Customer, subject to Clause 6;</w:t>
      </w:r>
    </w:p>
    <w:p w14:paraId="2290FE4C" w14:textId="77777777" w:rsidR="000069DC" w:rsidRDefault="000069DC" w:rsidP="000069DC">
      <w:pPr>
        <w:spacing w:before="200" w:after="100"/>
      </w:pPr>
      <w:r>
        <w:rPr>
          <w:b/>
          <w:bCs/>
          <w:sz w:val="21"/>
          <w:szCs w:val="21"/>
        </w:rPr>
        <w:t>4. Sub-processors</w:t>
      </w:r>
    </w:p>
    <w:p w14:paraId="2F786CF9" w14:textId="77777777" w:rsidR="000069DC" w:rsidRDefault="000069DC" w:rsidP="000069DC">
      <w:pPr>
        <w:spacing w:after="160" w:line="276" w:lineRule="auto"/>
      </w:pPr>
      <w:r>
        <w:rPr>
          <w:sz w:val="21"/>
          <w:szCs w:val="21"/>
        </w:rPr>
        <w:t xml:space="preserve">4.1 The Customer provides ADM with general written authorisation to engage the Sub-processors listed in Annex 2 in connection with the provision of the Services. For the avoidance of doubt: (a) a cloud or SaaS platform that the Customer </w:t>
      </w:r>
      <w:r>
        <w:rPr>
          <w:sz w:val="21"/>
          <w:szCs w:val="21"/>
        </w:rPr>
        <w:lastRenderedPageBreak/>
        <w:t>subscribes to and operates directly under its own agreement with that provider is not a Sub-processor of ADM in respect of Personal Data that remains within the Customer's own environment — ADM's involvement there is limited to administering that environment under delegated access granted by the Customer; (b) where ADM self-hosts third-party software (such as its documentation and PSA platforms) on infrastructure controlled by ADM, the software vendor is not itself a Sub-processor unless that vendor is separately given access to the underlying data (e.g. for remote support, telemetry, or managed hosting); and (c) a colocation facility provider that supplies only physical rack space, power, cooling and physical security — with no logical or remote access to Personal Data held on ADM's own equipment — is not a Sub-processor, and is instead addressed as a physical security control under Annex 3.</w:t>
      </w:r>
    </w:p>
    <w:p w14:paraId="39F96240" w14:textId="77777777" w:rsidR="000069DC" w:rsidRDefault="000069DC" w:rsidP="000069DC">
      <w:pPr>
        <w:spacing w:after="160" w:line="276" w:lineRule="auto"/>
      </w:pPr>
      <w:r>
        <w:rPr>
          <w:sz w:val="21"/>
          <w:szCs w:val="21"/>
        </w:rPr>
        <w:t>4.2 ADM shall give the Customer no less than 30 days' prior written notice of any intended addition or replacement of a Sub-processor, giving the Customer the opportunity to object on reasonable data protection grounds. If the Customer objects and the Parties cannot resolve the objection, either Party may treat this as grounds to terminate the affected element of the Services without penalty.</w:t>
      </w:r>
    </w:p>
    <w:p w14:paraId="2F3B0A44" w14:textId="77777777" w:rsidR="000069DC" w:rsidRDefault="000069DC" w:rsidP="000069DC">
      <w:pPr>
        <w:spacing w:after="160" w:line="276" w:lineRule="auto"/>
      </w:pPr>
      <w:r>
        <w:rPr>
          <w:sz w:val="21"/>
          <w:szCs w:val="21"/>
        </w:rPr>
        <w:t xml:space="preserve">4.3 Where ADM engages a Sub-processor, ADM shall impose on that Sub-processor, by way of contract, the same data protection obligations as set out in this Schedule, </w:t>
      </w:r>
      <w:proofErr w:type="gramStart"/>
      <w:r>
        <w:rPr>
          <w:sz w:val="21"/>
          <w:szCs w:val="21"/>
        </w:rPr>
        <w:t>in particular providing</w:t>
      </w:r>
      <w:proofErr w:type="gramEnd"/>
      <w:r>
        <w:rPr>
          <w:sz w:val="21"/>
          <w:szCs w:val="21"/>
        </w:rPr>
        <w:t xml:space="preserve"> sufficient guarantees to implement appropriate technical and organisational measures. ADM remains fully liable to the Customer for the performance of that Sub-processor's obligations.</w:t>
      </w:r>
    </w:p>
    <w:p w14:paraId="0705A474" w14:textId="77777777" w:rsidR="000069DC" w:rsidRDefault="000069DC" w:rsidP="000069DC">
      <w:pPr>
        <w:spacing w:before="200" w:after="100"/>
      </w:pPr>
      <w:r>
        <w:rPr>
          <w:b/>
          <w:bCs/>
          <w:sz w:val="21"/>
          <w:szCs w:val="21"/>
        </w:rPr>
        <w:t>5. International Transfers</w:t>
      </w:r>
    </w:p>
    <w:p w14:paraId="7E82B022" w14:textId="77777777" w:rsidR="000069DC" w:rsidRDefault="000069DC" w:rsidP="000069DC">
      <w:pPr>
        <w:spacing w:after="160" w:line="276" w:lineRule="auto"/>
      </w:pPr>
      <w:r>
        <w:rPr>
          <w:sz w:val="21"/>
          <w:szCs w:val="21"/>
        </w:rPr>
        <w:t>5.1 ADM shall not transfer Personal Data outside the UK (or the European Economic Area, where applicable) except: (a) to a country or organisation covered by UK adequacy regulations; (b) subject to appropriate safeguards under Article 46 UK GDPR, including the International Data Transfer Agreement or the UK Addendum to the EU Standard Contractual Clauses; or (c) with the Customer's prior written consent and subject to another valid transfer mechanism.</w:t>
      </w:r>
    </w:p>
    <w:p w14:paraId="76ABF8D1" w14:textId="77777777" w:rsidR="000069DC" w:rsidRDefault="000069DC" w:rsidP="000069DC">
      <w:pPr>
        <w:spacing w:after="160" w:line="276" w:lineRule="auto"/>
      </w:pPr>
      <w:r>
        <w:rPr>
          <w:sz w:val="21"/>
          <w:szCs w:val="21"/>
        </w:rPr>
        <w:t>5.2 Where the Services rely on infrastructure operated by ADM's own Sub-processors (including backup storage, documentation, and PSA/ticketing platforms listed in Annex 2), ADM shall use UK-region storage wherever offered by the relevant Sub-processor and shall document any exception.</w:t>
      </w:r>
    </w:p>
    <w:p w14:paraId="3E755C7E" w14:textId="77777777" w:rsidR="000069DC" w:rsidRDefault="000069DC" w:rsidP="000069DC">
      <w:pPr>
        <w:spacing w:before="200" w:after="100"/>
      </w:pPr>
      <w:r>
        <w:rPr>
          <w:b/>
          <w:bCs/>
          <w:sz w:val="21"/>
          <w:szCs w:val="21"/>
        </w:rPr>
        <w:t>6. Audit and Information Rights</w:t>
      </w:r>
    </w:p>
    <w:p w14:paraId="376A1D46" w14:textId="77777777" w:rsidR="000069DC" w:rsidRDefault="000069DC" w:rsidP="000069DC">
      <w:pPr>
        <w:spacing w:after="160" w:line="276" w:lineRule="auto"/>
      </w:pPr>
      <w:r>
        <w:rPr>
          <w:sz w:val="21"/>
          <w:szCs w:val="21"/>
        </w:rPr>
        <w:t>6.1 ADM shall make available to the Customer, on reasonable written request and no more than once in any 12-month period (save where required following a Personal Data Breach or by a supervisory authority), such information as is reasonably necessary to demonstrate compliance with this Schedule, which may be satisfied by provision of ADM's current ISO/IEC 27001:2022 certification, Cyber Essentials Plus certification, SOC-type reports, or written responses to a reasonable security questionnaire.</w:t>
      </w:r>
    </w:p>
    <w:p w14:paraId="7CF1D58D" w14:textId="77777777" w:rsidR="000069DC" w:rsidRDefault="000069DC" w:rsidP="000069DC">
      <w:pPr>
        <w:spacing w:after="160" w:line="276" w:lineRule="auto"/>
      </w:pPr>
      <w:r>
        <w:rPr>
          <w:sz w:val="21"/>
          <w:szCs w:val="21"/>
        </w:rPr>
        <w:t>6.2 If such documentation does not reasonably address the Customer's concerns, the Customer may conduct an on-site or remote audit on no less than 30 days' written notice, during ADM's normal business hours, no more than once per year, at the Customer's own cost, subject to reasonable confidentiality restrictions and without disrupting ADM's operations or other customers' data.</w:t>
      </w:r>
    </w:p>
    <w:p w14:paraId="649A7B3B" w14:textId="77777777" w:rsidR="000069DC" w:rsidRDefault="000069DC" w:rsidP="000069DC">
      <w:pPr>
        <w:spacing w:before="200" w:after="100"/>
      </w:pPr>
      <w:r>
        <w:rPr>
          <w:b/>
          <w:bCs/>
          <w:sz w:val="21"/>
          <w:szCs w:val="21"/>
        </w:rPr>
        <w:t>7. Personal Data Breach Notification</w:t>
      </w:r>
    </w:p>
    <w:p w14:paraId="15766DC3" w14:textId="77777777" w:rsidR="000069DC" w:rsidRDefault="000069DC" w:rsidP="000069DC">
      <w:pPr>
        <w:spacing w:after="160" w:line="276" w:lineRule="auto"/>
      </w:pPr>
      <w:r>
        <w:rPr>
          <w:sz w:val="21"/>
          <w:szCs w:val="21"/>
        </w:rPr>
        <w:lastRenderedPageBreak/>
        <w:t>7.1 ADM shall notify the Customer without undue delay, and in any event within 48 hours of becoming aware, of any Personal Data Breach affecting the Customer's Personal Data.</w:t>
      </w:r>
    </w:p>
    <w:p w14:paraId="7B5D97D2" w14:textId="77777777" w:rsidR="000069DC" w:rsidRDefault="000069DC" w:rsidP="000069DC">
      <w:pPr>
        <w:spacing w:after="160" w:line="276" w:lineRule="auto"/>
      </w:pPr>
      <w:r>
        <w:rPr>
          <w:sz w:val="21"/>
          <w:szCs w:val="21"/>
        </w:rPr>
        <w:t>7.2 Notification shall, so far as reasonably known at the time (with further information provided as it becomes available), describe: the nature of the breach, categories and approximate number of Data Subjects and records affected, likely consequences, and the measures taken or proposed to address the breach and mitigate its effects.</w:t>
      </w:r>
    </w:p>
    <w:p w14:paraId="50964627" w14:textId="77777777" w:rsidR="000069DC" w:rsidRDefault="000069DC" w:rsidP="000069DC">
      <w:pPr>
        <w:spacing w:after="160" w:line="276" w:lineRule="auto"/>
      </w:pPr>
      <w:r>
        <w:rPr>
          <w:sz w:val="21"/>
          <w:szCs w:val="21"/>
        </w:rPr>
        <w:t>7.3 ADM shall provide reasonable cooperation and assistance to the Customer in respect of any resulting notification to the ICO or affected Data Subjects, recognising that the Customer, as Controller, retains responsibility for making such notifications.</w:t>
      </w:r>
    </w:p>
    <w:p w14:paraId="300E318B" w14:textId="77777777" w:rsidR="000069DC" w:rsidRDefault="000069DC" w:rsidP="000069DC">
      <w:pPr>
        <w:spacing w:before="200" w:after="100"/>
      </w:pPr>
      <w:r>
        <w:rPr>
          <w:b/>
          <w:bCs/>
          <w:sz w:val="21"/>
          <w:szCs w:val="21"/>
        </w:rPr>
        <w:t>8. Deletion and Return of Data</w:t>
      </w:r>
    </w:p>
    <w:p w14:paraId="2B8F6023" w14:textId="77777777" w:rsidR="000069DC" w:rsidRDefault="000069DC" w:rsidP="000069DC">
      <w:pPr>
        <w:spacing w:after="160" w:line="276" w:lineRule="auto"/>
      </w:pPr>
      <w:r>
        <w:rPr>
          <w:sz w:val="21"/>
          <w:szCs w:val="21"/>
        </w:rPr>
        <w:t>On termination or expiry of the Agreement (or the relevant Services), ADM shall, at the Customer's written election made within 30 days of termination, either securely delete or return all Personal Data Processed under the Agreement, and delete existing copies, save to the extent UK law requires ADM to retain such data, in which case ADM shall isolate and protect that data from further Processing except as required by that law.</w:t>
      </w:r>
    </w:p>
    <w:p w14:paraId="3667F2DC" w14:textId="77777777" w:rsidR="000069DC" w:rsidRDefault="000069DC" w:rsidP="000069DC">
      <w:pPr>
        <w:spacing w:before="200" w:after="100"/>
      </w:pPr>
      <w:r>
        <w:rPr>
          <w:b/>
          <w:bCs/>
          <w:sz w:val="21"/>
          <w:szCs w:val="21"/>
        </w:rPr>
        <w:t>9. Liability</w:t>
      </w:r>
    </w:p>
    <w:p w14:paraId="4CDCBB16" w14:textId="77777777" w:rsidR="000069DC" w:rsidRDefault="000069DC" w:rsidP="000069DC">
      <w:pPr>
        <w:spacing w:after="160" w:line="276" w:lineRule="auto"/>
      </w:pPr>
      <w:r>
        <w:rPr>
          <w:sz w:val="21"/>
          <w:szCs w:val="21"/>
        </w:rPr>
        <w:t>Each Party's liability arising out of or in connection with this Schedule is subject to the limitations and exclusions of liability set out in the Agreement. Nothing in this Schedule limits either Party's liability for matters which cannot be limited or excluded under UK GDPR or applicable law.</w:t>
      </w:r>
    </w:p>
    <w:p w14:paraId="4B021AAD" w14:textId="77777777" w:rsidR="000069DC" w:rsidRDefault="000069DC" w:rsidP="000069DC">
      <w:pPr>
        <w:spacing w:before="200" w:after="100"/>
      </w:pPr>
      <w:r>
        <w:rPr>
          <w:b/>
          <w:bCs/>
          <w:sz w:val="21"/>
          <w:szCs w:val="21"/>
        </w:rPr>
        <w:t>10. General</w:t>
      </w:r>
    </w:p>
    <w:p w14:paraId="2AC636F7" w14:textId="77777777" w:rsidR="000069DC" w:rsidRDefault="000069DC" w:rsidP="000069DC">
      <w:pPr>
        <w:spacing w:after="160" w:line="276" w:lineRule="auto"/>
      </w:pPr>
      <w:r>
        <w:rPr>
          <w:sz w:val="21"/>
          <w:szCs w:val="21"/>
        </w:rPr>
        <w:t xml:space="preserve">10.1 This Schedule shall take precedence over any conflicting provision of the Agreement in respect of the Processing of Personal </w:t>
      </w:r>
      <w:proofErr w:type="gramStart"/>
      <w:r>
        <w:rPr>
          <w:sz w:val="21"/>
          <w:szCs w:val="21"/>
        </w:rPr>
        <w:t>Data, but</w:t>
      </w:r>
      <w:proofErr w:type="gramEnd"/>
      <w:r>
        <w:rPr>
          <w:sz w:val="21"/>
          <w:szCs w:val="21"/>
        </w:rPr>
        <w:t xml:space="preserve"> does not otherwise vary the commercial or technical terms of the Agreement.</w:t>
      </w:r>
    </w:p>
    <w:p w14:paraId="11376C96" w14:textId="77777777" w:rsidR="000069DC" w:rsidRDefault="000069DC" w:rsidP="000069DC">
      <w:pPr>
        <w:spacing w:after="160" w:line="276" w:lineRule="auto"/>
      </w:pPr>
      <w:r>
        <w:rPr>
          <w:sz w:val="21"/>
          <w:szCs w:val="21"/>
        </w:rPr>
        <w:t>10.2 This Schedule is governed by the laws of England and Wales, in line with the governing law provisions of the Agreement.</w:t>
      </w:r>
    </w:p>
    <w:p w14:paraId="164D7B94" w14:textId="77777777" w:rsidR="000069DC" w:rsidRDefault="000069DC" w:rsidP="000069DC">
      <w:pPr>
        <w:spacing w:after="160" w:line="276" w:lineRule="auto"/>
      </w:pPr>
      <w:r>
        <w:rPr>
          <w:sz w:val="21"/>
          <w:szCs w:val="21"/>
        </w:rPr>
        <w:t>10.3 Should any provision of UK data protection law be amended, replaced or superseded such that this Schedule no longer reflects the Parties' statutory obligations, the Parties shall negotiate in good faith to update this Schedule accordingly; pending any such update, the statutory requirements in force shall be treated as incorporated into this Schedule by operation of law.</w:t>
      </w:r>
    </w:p>
    <w:p w14:paraId="358AA260" w14:textId="77777777" w:rsidR="000069DC" w:rsidRDefault="000069DC" w:rsidP="000069DC">
      <w:pPr>
        <w:pageBreakBefore/>
      </w:pPr>
      <w:r>
        <w:lastRenderedPageBreak/>
        <w:br/>
      </w:r>
    </w:p>
    <w:p w14:paraId="22840CE7" w14:textId="77777777" w:rsidR="000069DC" w:rsidRDefault="000069DC" w:rsidP="000069DC">
      <w:pPr>
        <w:pStyle w:val="Heading1"/>
        <w:spacing w:before="240"/>
      </w:pPr>
      <w:r>
        <w:t>Annex 1 — Details of Processing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38"/>
      </w:tblGrid>
      <w:tr w:rsidR="000069DC" w14:paraId="51489A9C"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3EEFAD18" w14:textId="77777777" w:rsidR="000069DC" w:rsidRDefault="000069DC" w:rsidP="00885FE3">
            <w:r>
              <w:rPr>
                <w:b/>
                <w:bCs/>
                <w:sz w:val="19"/>
                <w:szCs w:val="19"/>
              </w:rPr>
              <w:t>Subject matter</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0BD04DE2" w14:textId="77777777" w:rsidR="000069DC" w:rsidRDefault="000069DC" w:rsidP="00885FE3">
            <w:r>
              <w:rPr>
                <w:sz w:val="19"/>
                <w:szCs w:val="19"/>
              </w:rPr>
              <w:t>Provision of managed IT support, system administration, cyber security monitoring and compliance services by ADM to the Customer, as described in the Agreement.</w:t>
            </w:r>
          </w:p>
        </w:tc>
      </w:tr>
      <w:tr w:rsidR="000069DC" w14:paraId="02A29BE3"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696045C2" w14:textId="77777777" w:rsidR="000069DC" w:rsidRDefault="000069DC" w:rsidP="00885FE3">
            <w:r>
              <w:rPr>
                <w:b/>
                <w:bCs/>
                <w:sz w:val="19"/>
                <w:szCs w:val="19"/>
              </w:rPr>
              <w:t>Duration</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2D6123AE" w14:textId="77777777" w:rsidR="000069DC" w:rsidRDefault="000069DC" w:rsidP="00885FE3">
            <w:r>
              <w:rPr>
                <w:sz w:val="19"/>
                <w:szCs w:val="19"/>
              </w:rPr>
              <w:t>For the term of the Agreement, and thereafter for so long as ADM holds Personal Data pending deletion or return under Clause 8.</w:t>
            </w:r>
          </w:p>
        </w:tc>
      </w:tr>
      <w:tr w:rsidR="000069DC" w14:paraId="5EBD88C1"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3343067E" w14:textId="77777777" w:rsidR="000069DC" w:rsidRDefault="000069DC" w:rsidP="00885FE3">
            <w:r>
              <w:rPr>
                <w:b/>
                <w:bCs/>
                <w:sz w:val="19"/>
                <w:szCs w:val="19"/>
              </w:rPr>
              <w:t>Nature of Processing</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2D5CDE01" w14:textId="77777777" w:rsidR="000069DC" w:rsidRDefault="000069DC" w:rsidP="00885FE3">
            <w:r>
              <w:rPr>
                <w:sz w:val="19"/>
                <w:szCs w:val="19"/>
              </w:rPr>
              <w:t>(a) Access to and administration of Personal Data within Customer-owned IT environments and cloud/SaaS platforms via delegated administrative access granted by the Customer, which remains within the Customer's own environment; and (b) collection, storage and transmission of Personal Data that ADM itself holds outside the Customer's own environment in the course of delivering the Services, namely: backup data (Wasabi UK cloud storage), technical/asset documentation (Hudu), and customer contact and support-ticket records (HaloPSA).</w:t>
            </w:r>
          </w:p>
        </w:tc>
      </w:tr>
      <w:tr w:rsidR="000069DC" w14:paraId="366EFAEE"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28343D64" w14:textId="77777777" w:rsidR="000069DC" w:rsidRDefault="000069DC" w:rsidP="00885FE3">
            <w:r>
              <w:rPr>
                <w:b/>
                <w:bCs/>
                <w:sz w:val="19"/>
                <w:szCs w:val="19"/>
              </w:rPr>
              <w:t>Purpose of Processing</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7723E0AB" w14:textId="77777777" w:rsidR="000069DC" w:rsidRDefault="000069DC" w:rsidP="00885FE3">
            <w:r>
              <w:rPr>
                <w:sz w:val="19"/>
                <w:szCs w:val="19"/>
              </w:rPr>
              <w:t>Provision of IT helpdesk and support services; system administration; security monitoring, threat detection and incident response; backup and disaster recovery; compliance and governance support (e.g. data loss prevention, sensitivity labelling); licence and asset management.</w:t>
            </w:r>
          </w:p>
        </w:tc>
      </w:tr>
      <w:tr w:rsidR="000069DC" w14:paraId="5C04B518"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5A9D4B36" w14:textId="77777777" w:rsidR="000069DC" w:rsidRDefault="000069DC" w:rsidP="00885FE3">
            <w:r>
              <w:rPr>
                <w:b/>
                <w:bCs/>
                <w:sz w:val="19"/>
                <w:szCs w:val="19"/>
              </w:rPr>
              <w:t>Categories of Data Subjects</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5F5B2CC8" w14:textId="77777777" w:rsidR="000069DC" w:rsidRDefault="000069DC" w:rsidP="00885FE3">
            <w:r>
              <w:rPr>
                <w:sz w:val="19"/>
                <w:szCs w:val="19"/>
              </w:rPr>
              <w:t>Customer's employees, workers and contractors</w:t>
            </w:r>
          </w:p>
          <w:p w14:paraId="47D1F083" w14:textId="77777777" w:rsidR="000069DC" w:rsidRDefault="000069DC" w:rsidP="00885FE3">
            <w:r>
              <w:rPr>
                <w:sz w:val="19"/>
                <w:szCs w:val="19"/>
              </w:rPr>
              <w:t>Customer's customers, suppliers and business contacts (to the extent their data resides in systems supported by ADM, e.g. mailboxes, SharePoint, Teams)</w:t>
            </w:r>
          </w:p>
        </w:tc>
      </w:tr>
      <w:tr w:rsidR="000069DC" w14:paraId="7F223260"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3BA43BF3" w14:textId="77777777" w:rsidR="000069DC" w:rsidRDefault="000069DC" w:rsidP="00885FE3">
            <w:r>
              <w:rPr>
                <w:b/>
                <w:bCs/>
                <w:sz w:val="19"/>
                <w:szCs w:val="19"/>
              </w:rPr>
              <w:t>Types of Personal Data</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269CB823" w14:textId="77777777" w:rsidR="000069DC" w:rsidRDefault="000069DC" w:rsidP="00885FE3">
            <w:r>
              <w:rPr>
                <w:sz w:val="19"/>
                <w:szCs w:val="19"/>
              </w:rPr>
              <w:t>Contact details (name, email, phone, job title)</w:t>
            </w:r>
          </w:p>
          <w:p w14:paraId="6550EEE7" w14:textId="77777777" w:rsidR="000069DC" w:rsidRDefault="000069DC" w:rsidP="00885FE3">
            <w:r>
              <w:rPr>
                <w:sz w:val="19"/>
                <w:szCs w:val="19"/>
              </w:rPr>
              <w:t>Account and authentication data (usernames, device IDs, sign-in logs)</w:t>
            </w:r>
          </w:p>
          <w:p w14:paraId="6CEA0C1A" w14:textId="77777777" w:rsidR="000069DC" w:rsidRDefault="000069DC" w:rsidP="00885FE3">
            <w:r>
              <w:rPr>
                <w:sz w:val="19"/>
                <w:szCs w:val="19"/>
              </w:rPr>
              <w:t>Email, document and collaboration content incidental to support and monitoring activity</w:t>
            </w:r>
          </w:p>
          <w:p w14:paraId="69DF28C5" w14:textId="77777777" w:rsidR="000069DC" w:rsidRDefault="000069DC" w:rsidP="00885FE3">
            <w:r>
              <w:rPr>
                <w:sz w:val="19"/>
                <w:szCs w:val="19"/>
              </w:rPr>
              <w:t>Security and audit logs (IP addresses, activity logs, security alerts)</w:t>
            </w:r>
          </w:p>
          <w:p w14:paraId="312BF9FD" w14:textId="77777777" w:rsidR="000069DC" w:rsidRDefault="000069DC" w:rsidP="00885FE3">
            <w:r>
              <w:rPr>
                <w:sz w:val="19"/>
                <w:szCs w:val="19"/>
              </w:rPr>
              <w:t>Special category data only where incidentally present within Customer content and not specifically sought out or processed by ADM (e.g. HR or health data within email/documents)</w:t>
            </w:r>
          </w:p>
        </w:tc>
      </w:tr>
    </w:tbl>
    <w:p w14:paraId="5DF39A6A" w14:textId="77777777" w:rsidR="000069DC" w:rsidRDefault="000069DC" w:rsidP="000069DC">
      <w:pPr>
        <w:pStyle w:val="Heading1"/>
        <w:spacing w:before="240"/>
      </w:pPr>
      <w:r>
        <w:t>Annex 2 — Authorised Sub-processors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600"/>
        <w:gridCol w:w="4438"/>
      </w:tblGrid>
      <w:tr w:rsidR="000069DC" w14:paraId="7D8F97E8"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6577B2FE" w14:textId="77777777" w:rsidR="000069DC" w:rsidRDefault="000069DC" w:rsidP="00885FE3">
            <w:r>
              <w:rPr>
                <w:b/>
                <w:bCs/>
                <w:sz w:val="19"/>
                <w:szCs w:val="19"/>
              </w:rPr>
              <w:t>Sub-processor</w:t>
            </w:r>
          </w:p>
        </w:tc>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3C1A95FC" w14:textId="77777777" w:rsidR="000069DC" w:rsidRDefault="000069DC" w:rsidP="00885FE3">
            <w:r>
              <w:rPr>
                <w:b/>
                <w:bCs/>
                <w:sz w:val="19"/>
                <w:szCs w:val="19"/>
              </w:rPr>
              <w:t>Processing location</w:t>
            </w:r>
          </w:p>
        </w:tc>
        <w:tc>
          <w:tcPr>
            <w:tcW w:w="4438"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62F8CAF9" w14:textId="77777777" w:rsidR="000069DC" w:rsidRDefault="000069DC" w:rsidP="00885FE3">
            <w:r>
              <w:rPr>
                <w:b/>
                <w:bCs/>
                <w:sz w:val="19"/>
                <w:szCs w:val="19"/>
              </w:rPr>
              <w:t>Nature of processing</w:t>
            </w:r>
          </w:p>
        </w:tc>
      </w:tr>
      <w:tr w:rsidR="000069DC" w14:paraId="25213CD5" w14:textId="77777777" w:rsidTr="00885FE3">
        <w:tc>
          <w:tcPr>
            <w:tcW w:w="26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08C39D3D" w14:textId="77777777" w:rsidR="000069DC" w:rsidRDefault="000069DC" w:rsidP="00885FE3">
            <w:r>
              <w:rPr>
                <w:sz w:val="19"/>
                <w:szCs w:val="19"/>
              </w:rPr>
              <w:lastRenderedPageBreak/>
              <w:t>Wasabi Technologies</w:t>
            </w:r>
          </w:p>
        </w:tc>
        <w:tc>
          <w:tcPr>
            <w:tcW w:w="26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5373EDAC" w14:textId="77777777" w:rsidR="000069DC" w:rsidRDefault="000069DC" w:rsidP="00885FE3">
            <w:r>
              <w:rPr>
                <w:sz w:val="19"/>
                <w:szCs w:val="19"/>
              </w:rPr>
              <w:t>UK (Wasabi UK cloud storage region)</w:t>
            </w:r>
          </w:p>
        </w:tc>
        <w:tc>
          <w:tcPr>
            <w:tcW w:w="44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2171C863" w14:textId="77777777" w:rsidR="000069DC" w:rsidRDefault="000069DC" w:rsidP="00885FE3">
            <w:r>
              <w:rPr>
                <w:sz w:val="19"/>
                <w:szCs w:val="19"/>
              </w:rPr>
              <w:t>Storage of Customer backup data (backup and disaster recovery copies of Customer systems/data processed as part of the Services)</w:t>
            </w:r>
          </w:p>
        </w:tc>
      </w:tr>
      <w:tr w:rsidR="000069DC" w14:paraId="3972030A" w14:textId="77777777" w:rsidTr="00885FE3">
        <w:tc>
          <w:tcPr>
            <w:tcW w:w="26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07277A12" w14:textId="77777777" w:rsidR="000069DC" w:rsidRDefault="000069DC" w:rsidP="00885FE3"/>
        </w:tc>
        <w:tc>
          <w:tcPr>
            <w:tcW w:w="26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1082AAFB" w14:textId="77777777" w:rsidR="000069DC" w:rsidRDefault="000069DC" w:rsidP="00885FE3"/>
        </w:tc>
        <w:tc>
          <w:tcPr>
            <w:tcW w:w="44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7FE619A0" w14:textId="77777777" w:rsidR="000069DC" w:rsidRDefault="000069DC" w:rsidP="00885FE3"/>
        </w:tc>
      </w:tr>
    </w:tbl>
    <w:p w14:paraId="65EB7078" w14:textId="77777777" w:rsidR="000069DC" w:rsidRDefault="000069DC" w:rsidP="000069DC">
      <w:pPr>
        <w:spacing w:before="160" w:after="160"/>
      </w:pPr>
      <w:r>
        <w:rPr>
          <w:sz w:val="21"/>
          <w:szCs w:val="21"/>
        </w:rPr>
        <w:t>ADM maintains an up-to-date register of Sub-processors, available to Customers on request, and will notify Customers of changes in accordance with Clause 4.2.</w:t>
      </w:r>
    </w:p>
    <w:p w14:paraId="1446A3A2" w14:textId="77777777" w:rsidR="000069DC" w:rsidRDefault="000069DC" w:rsidP="000069DC">
      <w:pPr>
        <w:pStyle w:val="Heading1"/>
        <w:spacing w:before="240"/>
      </w:pPr>
      <w:r>
        <w:t>Annex 3 — Technical and Organisational Measures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38"/>
      </w:tblGrid>
      <w:tr w:rsidR="000069DC" w14:paraId="336BD07C"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750030E0" w14:textId="77777777" w:rsidR="000069DC" w:rsidRDefault="000069DC" w:rsidP="00885FE3">
            <w:r>
              <w:rPr>
                <w:b/>
                <w:bCs/>
                <w:sz w:val="19"/>
                <w:szCs w:val="19"/>
              </w:rPr>
              <w:t>Certification / framework</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235FF5F7" w14:textId="77777777" w:rsidR="000069DC" w:rsidRDefault="000069DC" w:rsidP="00885FE3">
            <w:r>
              <w:rPr>
                <w:sz w:val="19"/>
                <w:szCs w:val="19"/>
              </w:rPr>
              <w:t>ADM holds ISO/IEC 27001:2022 certification for its information security management system, and Cyber Essentials Plus certification, both subject to periodic external audit.</w:t>
            </w:r>
          </w:p>
        </w:tc>
      </w:tr>
      <w:tr w:rsidR="000069DC" w14:paraId="7B75BE54"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4A29F106" w14:textId="77777777" w:rsidR="000069DC" w:rsidRDefault="000069DC" w:rsidP="00885FE3">
            <w:r>
              <w:rPr>
                <w:b/>
                <w:bCs/>
                <w:sz w:val="19"/>
                <w:szCs w:val="19"/>
              </w:rPr>
              <w:t>Physical security</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46105410" w14:textId="77777777" w:rsidR="000069DC" w:rsidRDefault="000069DC" w:rsidP="00885FE3">
            <w:r>
              <w:rPr>
                <w:sz w:val="19"/>
                <w:szCs w:val="19"/>
              </w:rPr>
              <w:t>ADM's own hardware hosting its self-hosted platforms (including Hudu and HaloPSA) is located on dedicated racks at The Bunker, Sandwich, Kent — a UK colocation datacentre providing physical access control, environmental monitoring, power redundancy and site security. The Bunker provides physical facilities only and has no logical or remote access to Personal Data held on ADM's equipment.</w:t>
            </w:r>
          </w:p>
        </w:tc>
      </w:tr>
      <w:tr w:rsidR="000069DC" w14:paraId="6CD22769"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6F139885" w14:textId="77777777" w:rsidR="000069DC" w:rsidRDefault="000069DC" w:rsidP="00885FE3">
            <w:r>
              <w:rPr>
                <w:b/>
                <w:bCs/>
                <w:sz w:val="19"/>
                <w:szCs w:val="19"/>
              </w:rPr>
              <w:t>Access control</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5DCF17D5" w14:textId="77777777" w:rsidR="000069DC" w:rsidRDefault="000069DC" w:rsidP="00885FE3">
            <w:r>
              <w:rPr>
                <w:sz w:val="19"/>
                <w:szCs w:val="19"/>
              </w:rPr>
              <w:t>Role-based access control and least-privilege administration of Customer environments; use of privileged access management and just-in-time elevation for administrative tasks; multi-factor authentication enforced for all ADM staff accessing Customer environments; access via delegated administration models with scoped, time-limited roles rather than standing full-access credentials wherever operationally possible.</w:t>
            </w:r>
          </w:p>
        </w:tc>
      </w:tr>
      <w:tr w:rsidR="000069DC" w14:paraId="0A3F6FE8"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553EC999" w14:textId="77777777" w:rsidR="000069DC" w:rsidRDefault="000069DC" w:rsidP="00885FE3">
            <w:r>
              <w:rPr>
                <w:b/>
                <w:bCs/>
                <w:sz w:val="19"/>
                <w:szCs w:val="19"/>
              </w:rPr>
              <w:t>Monitoring and logging</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64C8E67F" w14:textId="77777777" w:rsidR="000069DC" w:rsidRDefault="000069DC" w:rsidP="00885FE3">
            <w:r>
              <w:rPr>
                <w:sz w:val="19"/>
                <w:szCs w:val="19"/>
              </w:rPr>
              <w:t>Security information and event monitoring with defined analytic rules and alerting; audit logging of administrative actions within Customer environments; regular review of sign-in and audit logs for anomalous activity.</w:t>
            </w:r>
          </w:p>
        </w:tc>
      </w:tr>
      <w:tr w:rsidR="000069DC" w14:paraId="18A76B48"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3EB4BB9F" w14:textId="77777777" w:rsidR="000069DC" w:rsidRDefault="000069DC" w:rsidP="00885FE3">
            <w:r>
              <w:rPr>
                <w:b/>
                <w:bCs/>
                <w:sz w:val="19"/>
                <w:szCs w:val="19"/>
              </w:rPr>
              <w:t>Data loss prevention</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368EA046" w14:textId="77777777" w:rsidR="000069DC" w:rsidRDefault="000069DC" w:rsidP="00885FE3">
            <w:r>
              <w:rPr>
                <w:sz w:val="19"/>
                <w:szCs w:val="19"/>
              </w:rPr>
              <w:t>Use of data loss prevention policies and data classification/labelling controls to reduce inadvertent exposure of Personal Data, where in scope of the Services provided to the Customer.</w:t>
            </w:r>
          </w:p>
        </w:tc>
      </w:tr>
      <w:tr w:rsidR="000069DC" w14:paraId="20CD5782"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69CB786E" w14:textId="77777777" w:rsidR="000069DC" w:rsidRDefault="000069DC" w:rsidP="00885FE3">
            <w:r>
              <w:rPr>
                <w:b/>
                <w:bCs/>
                <w:sz w:val="19"/>
                <w:szCs w:val="19"/>
              </w:rPr>
              <w:t>Encryption</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3DD7F48B" w14:textId="77777777" w:rsidR="000069DC" w:rsidRDefault="000069DC" w:rsidP="00885FE3">
            <w:r>
              <w:rPr>
                <w:sz w:val="19"/>
                <w:szCs w:val="19"/>
              </w:rPr>
              <w:t>Personal Data encrypted at rest and in transit in line with the security defaults of the platforms used to deliver the Services, and ADM-configured encryption and data protection controls where applicable.</w:t>
            </w:r>
          </w:p>
        </w:tc>
      </w:tr>
      <w:tr w:rsidR="000069DC" w14:paraId="2AF6A546"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00A2D5FF" w14:textId="77777777" w:rsidR="000069DC" w:rsidRDefault="000069DC" w:rsidP="00885FE3">
            <w:r>
              <w:rPr>
                <w:b/>
                <w:bCs/>
                <w:sz w:val="19"/>
                <w:szCs w:val="19"/>
              </w:rPr>
              <w:t>Organisational measures</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01F83ADB" w14:textId="77777777" w:rsidR="000069DC" w:rsidRDefault="000069DC" w:rsidP="00885FE3">
            <w:r>
              <w:rPr>
                <w:sz w:val="19"/>
                <w:szCs w:val="19"/>
              </w:rPr>
              <w:t>Staff data protection and security awareness training; confidentiality obligations in staff contracts; documented information security policies forming part of ADM's ISO 27001 ISMS; background checks for staff with privileged access, in line with ADM's HR policies.</w:t>
            </w:r>
          </w:p>
        </w:tc>
      </w:tr>
      <w:tr w:rsidR="000069DC" w14:paraId="49D1C32F"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532F38DE" w14:textId="77777777" w:rsidR="000069DC" w:rsidRDefault="000069DC" w:rsidP="00885FE3">
            <w:r>
              <w:rPr>
                <w:b/>
                <w:bCs/>
                <w:sz w:val="19"/>
                <w:szCs w:val="19"/>
              </w:rPr>
              <w:t>Incident response</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55A58450" w14:textId="77777777" w:rsidR="000069DC" w:rsidRDefault="000069DC" w:rsidP="00885FE3">
            <w:r>
              <w:rPr>
                <w:sz w:val="19"/>
                <w:szCs w:val="19"/>
              </w:rPr>
              <w:t>Documented incident response and breach notification procedures, including the 48-hour notification commitment at Clause 7; use of security monitoring playbooks for triage of security incidents.</w:t>
            </w:r>
          </w:p>
        </w:tc>
      </w:tr>
      <w:tr w:rsidR="000069DC" w14:paraId="6A7B653A" w14:textId="77777777" w:rsidTr="00885FE3">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14:paraId="0F39BEEA" w14:textId="77777777" w:rsidR="000069DC" w:rsidRDefault="000069DC" w:rsidP="00885FE3">
            <w:r>
              <w:rPr>
                <w:b/>
                <w:bCs/>
                <w:sz w:val="19"/>
                <w:szCs w:val="19"/>
              </w:rPr>
              <w:lastRenderedPageBreak/>
              <w:t>Business continuity</w:t>
            </w:r>
          </w:p>
        </w:tc>
        <w:tc>
          <w:tcPr>
            <w:tcW w:w="7038"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14:paraId="355DCC82" w14:textId="77777777" w:rsidR="000069DC" w:rsidRDefault="000069DC" w:rsidP="00885FE3">
            <w:r>
              <w:rPr>
                <w:sz w:val="19"/>
                <w:szCs w:val="19"/>
              </w:rPr>
              <w:t>Backup and disaster recovery arrangements appropriate to the Services provided, tested periodically in line with ADM's business continuity policy.</w:t>
            </w:r>
          </w:p>
        </w:tc>
      </w:tr>
    </w:tbl>
    <w:p w14:paraId="34C79302" w14:textId="77777777" w:rsidR="000069DC" w:rsidRDefault="000069DC" w:rsidP="000069DC"/>
    <w:sectPr w:rsidR="000069DC" w:rsidSect="008D1FCD">
      <w:headerReference w:type="default" r:id="rId12"/>
      <w:footerReference w:type="default" r:id="rId13"/>
      <w:pgSz w:w="11906" w:h="16838" w:code="9"/>
      <w:pgMar w:top="720" w:right="720" w:bottom="720" w:left="720" w:header="284"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46DB" w14:textId="77777777" w:rsidR="0003613D" w:rsidRDefault="0003613D" w:rsidP="00D6633C">
      <w:r>
        <w:separator/>
      </w:r>
    </w:p>
  </w:endnote>
  <w:endnote w:type="continuationSeparator" w:id="0">
    <w:p w14:paraId="52F67347" w14:textId="77777777" w:rsidR="0003613D" w:rsidRDefault="0003613D" w:rsidP="00D6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52316"/>
      <w:docPartObj>
        <w:docPartGallery w:val="Page Numbers (Bottom of Page)"/>
        <w:docPartUnique/>
      </w:docPartObj>
    </w:sdtPr>
    <w:sdtEndPr/>
    <w:sdtContent>
      <w:sdt>
        <w:sdtPr>
          <w:id w:val="-1769616900"/>
          <w:docPartObj>
            <w:docPartGallery w:val="Page Numbers (Top of Page)"/>
            <w:docPartUnique/>
          </w:docPartObj>
        </w:sdtPr>
        <w:sdtEndPr/>
        <w:sdtContent>
          <w:p w14:paraId="10BD32F1" w14:textId="77777777" w:rsidR="00237D7E" w:rsidRDefault="00237D7E" w:rsidP="00237D7E">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37D7E" w:rsidRPr="00237D7E" w14:paraId="4E4F6AE3" w14:textId="77777777" w:rsidTr="00237D7E">
              <w:tc>
                <w:tcPr>
                  <w:tcW w:w="5228" w:type="dxa"/>
                </w:tcPr>
                <w:p w14:paraId="1F19904E" w14:textId="4AAE278B" w:rsidR="00237D7E" w:rsidRPr="00237D7E" w:rsidRDefault="00237D7E" w:rsidP="00237D7E">
                  <w:pPr>
                    <w:pStyle w:val="Footer"/>
                  </w:pPr>
                  <w:r w:rsidRPr="00237D7E">
                    <w:t>Document Reference: IMS195</w:t>
                  </w:r>
                </w:p>
              </w:tc>
              <w:tc>
                <w:tcPr>
                  <w:tcW w:w="5228" w:type="dxa"/>
                </w:tcPr>
                <w:p w14:paraId="32C1C280" w14:textId="527364FC" w:rsidR="00237D7E" w:rsidRPr="00237D7E" w:rsidRDefault="00237D7E" w:rsidP="00237D7E">
                  <w:pPr>
                    <w:pStyle w:val="Footer"/>
                    <w:jc w:val="right"/>
                  </w:pPr>
                  <w:r w:rsidRPr="00237D7E">
                    <w:t xml:space="preserve">Page | </w:t>
                  </w:r>
                  <w:r w:rsidRPr="00237D7E">
                    <w:fldChar w:fldCharType="begin"/>
                  </w:r>
                  <w:r w:rsidRPr="00237D7E">
                    <w:instrText xml:space="preserve"> PAGE   \* MERGEFORMAT </w:instrText>
                  </w:r>
                  <w:r w:rsidRPr="00237D7E">
                    <w:fldChar w:fldCharType="separate"/>
                  </w:r>
                  <w:r w:rsidRPr="00237D7E">
                    <w:rPr>
                      <w:noProof/>
                    </w:rPr>
                    <w:t>1</w:t>
                  </w:r>
                  <w:r w:rsidRPr="00237D7E">
                    <w:rPr>
                      <w:noProof/>
                    </w:rPr>
                    <w:fldChar w:fldCharType="end"/>
                  </w:r>
                </w:p>
              </w:tc>
            </w:tr>
          </w:tbl>
          <w:p w14:paraId="7BC10399" w14:textId="07924066" w:rsidR="00EC5752" w:rsidRDefault="0003613D" w:rsidP="00237D7E">
            <w:pPr>
              <w:pStyle w:val="Footer"/>
            </w:pPr>
          </w:p>
        </w:sdtContent>
      </w:sdt>
    </w:sdtContent>
  </w:sdt>
  <w:p w14:paraId="514BD58B" w14:textId="77777777" w:rsidR="00EC5752" w:rsidRDefault="00EC5752" w:rsidP="00EC57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610D" w14:textId="77777777" w:rsidR="0003613D" w:rsidRDefault="0003613D" w:rsidP="00D6633C">
      <w:r>
        <w:separator/>
      </w:r>
    </w:p>
  </w:footnote>
  <w:footnote w:type="continuationSeparator" w:id="0">
    <w:p w14:paraId="5C4900E9" w14:textId="77777777" w:rsidR="0003613D" w:rsidRDefault="0003613D" w:rsidP="00D6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28"/>
      <w:gridCol w:w="5239"/>
    </w:tblGrid>
    <w:tr w:rsidR="00ED2618" w:rsidRPr="00E95104" w14:paraId="33476E2F" w14:textId="77777777" w:rsidTr="27CFB70D">
      <w:trPr>
        <w:trHeight w:val="1800"/>
      </w:trPr>
      <w:tc>
        <w:tcPr>
          <w:tcW w:w="5228" w:type="dxa"/>
          <w:tcMar>
            <w:left w:w="0" w:type="dxa"/>
            <w:bottom w:w="85" w:type="dxa"/>
            <w:right w:w="0" w:type="dxa"/>
          </w:tcMar>
        </w:tcPr>
        <w:p w14:paraId="1BBFEC24" w14:textId="3E9759B3" w:rsidR="00ED2618" w:rsidRPr="00E95104" w:rsidRDefault="27CFB70D" w:rsidP="00ED2618">
          <w:pPr>
            <w:pStyle w:val="Header"/>
          </w:pPr>
          <w:r>
            <w:rPr>
              <w:noProof/>
            </w:rPr>
            <w:drawing>
              <wp:inline distT="0" distB="0" distL="0" distR="0" wp14:anchorId="03C6ECC3" wp14:editId="1A78FFE9">
                <wp:extent cx="2900241" cy="1195878"/>
                <wp:effectExtent l="0" t="0" r="0" b="0"/>
                <wp:docPr id="472567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6755" name="Picture 47256755"/>
                        <pic:cNvPicPr/>
                      </pic:nvPicPr>
                      <pic:blipFill>
                        <a:blip r:embed="rId1">
                          <a:extLst>
                            <a:ext uri="{28A0092B-C50C-407E-A947-70E740481C1C}">
                              <a14:useLocalDpi xmlns:a14="http://schemas.microsoft.com/office/drawing/2010/main"/>
                            </a:ext>
                          </a:extLst>
                        </a:blip>
                        <a:stretch>
                          <a:fillRect/>
                        </a:stretch>
                      </pic:blipFill>
                      <pic:spPr>
                        <a:xfrm>
                          <a:off x="0" y="0"/>
                          <a:ext cx="2900241" cy="1195878"/>
                        </a:xfrm>
                        <a:prstGeom prst="rect">
                          <a:avLst/>
                        </a:prstGeom>
                      </pic:spPr>
                    </pic:pic>
                  </a:graphicData>
                </a:graphic>
              </wp:inline>
            </w:drawing>
          </w:r>
        </w:p>
      </w:tc>
      <w:tc>
        <w:tcPr>
          <w:tcW w:w="5239" w:type="dxa"/>
          <w:tcMar>
            <w:left w:w="0" w:type="dxa"/>
            <w:bottom w:w="85" w:type="dxa"/>
            <w:right w:w="0" w:type="dxa"/>
          </w:tcMar>
          <w:vAlign w:val="center"/>
        </w:tcPr>
        <w:p w14:paraId="2CD2EFD4" w14:textId="40EF992C" w:rsidR="00ED2618" w:rsidRPr="00E95104" w:rsidRDefault="27CFB70D" w:rsidP="00ED2618">
          <w:pPr>
            <w:pStyle w:val="Header"/>
            <w:jc w:val="right"/>
          </w:pPr>
          <w:r>
            <w:rPr>
              <w:noProof/>
            </w:rPr>
            <w:drawing>
              <wp:inline distT="0" distB="0" distL="0" distR="0" wp14:anchorId="2556688A" wp14:editId="65179044">
                <wp:extent cx="3300453" cy="1009650"/>
                <wp:effectExtent l="0" t="0" r="0" b="0"/>
                <wp:docPr id="2338782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78243" name="Picture 233878243"/>
                        <pic:cNvPicPr/>
                      </pic:nvPicPr>
                      <pic:blipFill>
                        <a:blip r:embed="rId2">
                          <a:extLst>
                            <a:ext uri="{28A0092B-C50C-407E-A947-70E740481C1C}">
                              <a14:useLocalDpi xmlns:a14="http://schemas.microsoft.com/office/drawing/2010/main"/>
                            </a:ext>
                          </a:extLst>
                        </a:blip>
                        <a:stretch>
                          <a:fillRect/>
                        </a:stretch>
                      </pic:blipFill>
                      <pic:spPr>
                        <a:xfrm>
                          <a:off x="0" y="0"/>
                          <a:ext cx="3300453" cy="1009650"/>
                        </a:xfrm>
                        <a:prstGeom prst="rect">
                          <a:avLst/>
                        </a:prstGeom>
                      </pic:spPr>
                    </pic:pic>
                  </a:graphicData>
                </a:graphic>
              </wp:inline>
            </w:drawing>
          </w:r>
        </w:p>
      </w:tc>
    </w:tr>
    <w:tr w:rsidR="00ED2618" w:rsidRPr="00E95104" w14:paraId="288E267D" w14:textId="77777777" w:rsidTr="27CFB70D">
      <w:tc>
        <w:tcPr>
          <w:tcW w:w="10467" w:type="dxa"/>
          <w:gridSpan w:val="2"/>
          <w:tcMar>
            <w:left w:w="0" w:type="dxa"/>
            <w:bottom w:w="85" w:type="dxa"/>
            <w:righ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42" w:type="dxa"/>
              <w:bottom w:w="57" w:type="dxa"/>
              <w:right w:w="142" w:type="dxa"/>
            </w:tblCellMar>
            <w:tblLook w:val="04A0" w:firstRow="1" w:lastRow="0" w:firstColumn="1" w:lastColumn="0" w:noHBand="0" w:noVBand="1"/>
          </w:tblPr>
          <w:tblGrid>
            <w:gridCol w:w="10467"/>
          </w:tblGrid>
          <w:tr w:rsidR="00ED2618" w:rsidRPr="00E95104" w14:paraId="75E65C2D" w14:textId="77777777" w:rsidTr="001C65C0">
            <w:tc>
              <w:tcPr>
                <w:tcW w:w="134" w:type="dxa"/>
                <w:shd w:val="clear" w:color="auto" w:fill="D9D9D9" w:themeFill="background1" w:themeFillShade="D9"/>
              </w:tcPr>
              <w:p w14:paraId="565AD691" w14:textId="0651D20D" w:rsidR="00ED2618" w:rsidRPr="00525FB7" w:rsidRDefault="00ED2618" w:rsidP="00ED2618">
                <w:pPr>
                  <w:pStyle w:val="Header"/>
                  <w:rPr>
                    <w:noProof/>
                    <w:kern w:val="12"/>
                    <w:sz w:val="19"/>
                    <w:szCs w:val="19"/>
                    <w:lang w:eastAsia="en-GB"/>
                    <w14:ligatures w14:val="standardContextual"/>
                    <w14:cntxtAlts/>
                  </w:rPr>
                </w:pPr>
                <w:r w:rsidRPr="00525FB7">
                  <w:rPr>
                    <w:rFonts w:asciiTheme="majorHAnsi" w:hAnsiTheme="majorHAnsi"/>
                    <w:noProof/>
                    <w:kern w:val="12"/>
                    <w:sz w:val="19"/>
                    <w:szCs w:val="19"/>
                    <w:lang w:eastAsia="en-GB"/>
                    <w14:ligatures w14:val="standardContextual"/>
                    <w14:cntxtAlts/>
                  </w:rPr>
                  <w:t xml:space="preserve">01227 473500 | ADM Computing, Chaucer Road, Canterbury, Kent, CT1 1HH | </w:t>
                </w:r>
                <w:r w:rsidR="00525FB7" w:rsidRPr="00525FB7">
                  <w:rPr>
                    <w:rFonts w:asciiTheme="majorHAnsi" w:hAnsiTheme="majorHAnsi"/>
                    <w:noProof/>
                    <w:kern w:val="12"/>
                    <w:sz w:val="19"/>
                    <w:szCs w:val="19"/>
                    <w:lang w:eastAsia="en-GB"/>
                    <w14:ligatures w14:val="standardContextual"/>
                    <w14:cntxtAlts/>
                  </w:rPr>
                  <w:t>www.adm-computing.co.uk | Company No: 02719420</w:t>
                </w:r>
              </w:p>
            </w:tc>
          </w:tr>
        </w:tbl>
        <w:p w14:paraId="216B32F2" w14:textId="77777777" w:rsidR="00ED2618" w:rsidRPr="00E95104" w:rsidRDefault="00ED2618" w:rsidP="00ED2618">
          <w:pPr>
            <w:pStyle w:val="Header"/>
            <w:rPr>
              <w:noProof/>
              <w:kern w:val="12"/>
              <w:lang w:eastAsia="en-GB"/>
              <w14:ligatures w14:val="standardContextual"/>
              <w14:cntxtAlts/>
            </w:rPr>
          </w:pPr>
        </w:p>
      </w:tc>
    </w:tr>
  </w:tbl>
  <w:p w14:paraId="375CE798" w14:textId="3CE8D7AD" w:rsidR="00ED2618" w:rsidRPr="00ED2618" w:rsidRDefault="00ED2618" w:rsidP="000069DC">
    <w:pPr>
      <w:pStyle w:val="Header"/>
      <w:tabs>
        <w:tab w:val="clear" w:pos="4513"/>
        <w:tab w:val="clear" w:pos="9026"/>
        <w:tab w:val="left" w:pos="1890"/>
      </w:tabs>
      <w:rPr>
        <w:b/>
        <w:kern w:val="12"/>
        <w14:ligatures w14:val="standardContextual"/>
        <w14:cntxtAlt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F8E"/>
    <w:multiLevelType w:val="hybridMultilevel"/>
    <w:tmpl w:val="F04AD1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BB771A"/>
    <w:multiLevelType w:val="hybridMultilevel"/>
    <w:tmpl w:val="C2E44D2C"/>
    <w:lvl w:ilvl="0" w:tplc="E3BAEBB8">
      <w:start w:val="1"/>
      <w:numFmt w:val="bullet"/>
      <w:lvlText w:val="•"/>
      <w:lvlJc w:val="left"/>
      <w:pPr>
        <w:ind w:left="480" w:hanging="260"/>
      </w:pPr>
    </w:lvl>
    <w:lvl w:ilvl="1" w:tplc="7C66B1D6">
      <w:numFmt w:val="decimal"/>
      <w:lvlText w:val=""/>
      <w:lvlJc w:val="left"/>
    </w:lvl>
    <w:lvl w:ilvl="2" w:tplc="06A8D626">
      <w:numFmt w:val="decimal"/>
      <w:lvlText w:val=""/>
      <w:lvlJc w:val="left"/>
    </w:lvl>
    <w:lvl w:ilvl="3" w:tplc="23606AA6">
      <w:numFmt w:val="decimal"/>
      <w:lvlText w:val=""/>
      <w:lvlJc w:val="left"/>
    </w:lvl>
    <w:lvl w:ilvl="4" w:tplc="F7C6F6BE">
      <w:numFmt w:val="decimal"/>
      <w:lvlText w:val=""/>
      <w:lvlJc w:val="left"/>
    </w:lvl>
    <w:lvl w:ilvl="5" w:tplc="6CA0AE3E">
      <w:numFmt w:val="decimal"/>
      <w:lvlText w:val=""/>
      <w:lvlJc w:val="left"/>
    </w:lvl>
    <w:lvl w:ilvl="6" w:tplc="080CF3B8">
      <w:numFmt w:val="decimal"/>
      <w:lvlText w:val=""/>
      <w:lvlJc w:val="left"/>
    </w:lvl>
    <w:lvl w:ilvl="7" w:tplc="92D8F402">
      <w:numFmt w:val="decimal"/>
      <w:lvlText w:val=""/>
      <w:lvlJc w:val="left"/>
    </w:lvl>
    <w:lvl w:ilvl="8" w:tplc="74A43102">
      <w:numFmt w:val="decimal"/>
      <w:lvlText w:val=""/>
      <w:lvlJc w:val="left"/>
    </w:lvl>
  </w:abstractNum>
  <w:abstractNum w:abstractNumId="2" w15:restartNumberingAfterBreak="0">
    <w:nsid w:val="252062DC"/>
    <w:multiLevelType w:val="hybridMultilevel"/>
    <w:tmpl w:val="FE3C0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DD3A71"/>
    <w:multiLevelType w:val="hybridMultilevel"/>
    <w:tmpl w:val="FE3C0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85E79"/>
    <w:multiLevelType w:val="hybridMultilevel"/>
    <w:tmpl w:val="32509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50829"/>
    <w:multiLevelType w:val="hybridMultilevel"/>
    <w:tmpl w:val="FE3C0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A52D5"/>
    <w:multiLevelType w:val="hybridMultilevel"/>
    <w:tmpl w:val="FE3C0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815812"/>
    <w:multiLevelType w:val="hybridMultilevel"/>
    <w:tmpl w:val="FA2AA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A6906"/>
    <w:multiLevelType w:val="hybridMultilevel"/>
    <w:tmpl w:val="8FDA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53CF4"/>
    <w:multiLevelType w:val="hybridMultilevel"/>
    <w:tmpl w:val="2396A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F56A9"/>
    <w:multiLevelType w:val="hybridMultilevel"/>
    <w:tmpl w:val="D45E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719043">
    <w:abstractNumId w:val="8"/>
  </w:num>
  <w:num w:numId="2" w16cid:durableId="942494607">
    <w:abstractNumId w:val="10"/>
  </w:num>
  <w:num w:numId="3" w16cid:durableId="1659770617">
    <w:abstractNumId w:val="0"/>
  </w:num>
  <w:num w:numId="4" w16cid:durableId="75174537">
    <w:abstractNumId w:val="7"/>
  </w:num>
  <w:num w:numId="5" w16cid:durableId="949581625">
    <w:abstractNumId w:val="5"/>
  </w:num>
  <w:num w:numId="6" w16cid:durableId="1114909015">
    <w:abstractNumId w:val="6"/>
  </w:num>
  <w:num w:numId="7" w16cid:durableId="473835635">
    <w:abstractNumId w:val="3"/>
  </w:num>
  <w:num w:numId="8" w16cid:durableId="410739502">
    <w:abstractNumId w:val="2"/>
  </w:num>
  <w:num w:numId="9" w16cid:durableId="2076664972">
    <w:abstractNumId w:val="4"/>
  </w:num>
  <w:num w:numId="10" w16cid:durableId="1290165237">
    <w:abstractNumId w:val="9"/>
  </w:num>
  <w:num w:numId="11" w16cid:durableId="1991252359">
    <w:abstractNumId w:val="1"/>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WwMDU3t7QwNDM1trRQ0lEKTi0uzszPAykwrAUAhAIt7CwAAAA="/>
  </w:docVars>
  <w:rsids>
    <w:rsidRoot w:val="00D6633C"/>
    <w:rsid w:val="000069DC"/>
    <w:rsid w:val="00007CAA"/>
    <w:rsid w:val="00015468"/>
    <w:rsid w:val="000158A5"/>
    <w:rsid w:val="00017710"/>
    <w:rsid w:val="0002455A"/>
    <w:rsid w:val="00024D54"/>
    <w:rsid w:val="00025E7F"/>
    <w:rsid w:val="00026ED9"/>
    <w:rsid w:val="00031C08"/>
    <w:rsid w:val="0003613D"/>
    <w:rsid w:val="00036171"/>
    <w:rsid w:val="00041D46"/>
    <w:rsid w:val="00041D8C"/>
    <w:rsid w:val="00044595"/>
    <w:rsid w:val="00044B41"/>
    <w:rsid w:val="00046AA2"/>
    <w:rsid w:val="000667ED"/>
    <w:rsid w:val="00072F0F"/>
    <w:rsid w:val="00073763"/>
    <w:rsid w:val="000748DA"/>
    <w:rsid w:val="000754F4"/>
    <w:rsid w:val="0008061B"/>
    <w:rsid w:val="00085CCD"/>
    <w:rsid w:val="00093386"/>
    <w:rsid w:val="0009434D"/>
    <w:rsid w:val="0009603C"/>
    <w:rsid w:val="000B2D48"/>
    <w:rsid w:val="000C5B54"/>
    <w:rsid w:val="000D288E"/>
    <w:rsid w:val="000D5069"/>
    <w:rsid w:val="000D733E"/>
    <w:rsid w:val="000E21A5"/>
    <w:rsid w:val="000E2906"/>
    <w:rsid w:val="000E3FF2"/>
    <w:rsid w:val="000F1893"/>
    <w:rsid w:val="000F2367"/>
    <w:rsid w:val="000F301F"/>
    <w:rsid w:val="000F55D0"/>
    <w:rsid w:val="00112DA3"/>
    <w:rsid w:val="00114A0C"/>
    <w:rsid w:val="00116529"/>
    <w:rsid w:val="00117C69"/>
    <w:rsid w:val="001227CF"/>
    <w:rsid w:val="00130945"/>
    <w:rsid w:val="00137F90"/>
    <w:rsid w:val="001416CE"/>
    <w:rsid w:val="001419DE"/>
    <w:rsid w:val="0015774C"/>
    <w:rsid w:val="00163584"/>
    <w:rsid w:val="00163B87"/>
    <w:rsid w:val="00165897"/>
    <w:rsid w:val="00167436"/>
    <w:rsid w:val="00172934"/>
    <w:rsid w:val="001829A3"/>
    <w:rsid w:val="0018609F"/>
    <w:rsid w:val="001A1ED0"/>
    <w:rsid w:val="001A578C"/>
    <w:rsid w:val="001B0908"/>
    <w:rsid w:val="001B6709"/>
    <w:rsid w:val="001B767C"/>
    <w:rsid w:val="001C6AEB"/>
    <w:rsid w:val="001D1B6B"/>
    <w:rsid w:val="001D302D"/>
    <w:rsid w:val="001D5CBC"/>
    <w:rsid w:val="001D6FAA"/>
    <w:rsid w:val="001D78F3"/>
    <w:rsid w:val="001D7AE3"/>
    <w:rsid w:val="001E1467"/>
    <w:rsid w:val="001E3518"/>
    <w:rsid w:val="001E3965"/>
    <w:rsid w:val="001F57B7"/>
    <w:rsid w:val="001F675E"/>
    <w:rsid w:val="001F69CB"/>
    <w:rsid w:val="001F78DD"/>
    <w:rsid w:val="00203822"/>
    <w:rsid w:val="00203DD9"/>
    <w:rsid w:val="00217F3B"/>
    <w:rsid w:val="00224E1C"/>
    <w:rsid w:val="00225B03"/>
    <w:rsid w:val="00237D7E"/>
    <w:rsid w:val="00240C7B"/>
    <w:rsid w:val="00243196"/>
    <w:rsid w:val="00243B45"/>
    <w:rsid w:val="00245EAF"/>
    <w:rsid w:val="00254276"/>
    <w:rsid w:val="00256C31"/>
    <w:rsid w:val="002574AB"/>
    <w:rsid w:val="00261C1A"/>
    <w:rsid w:val="00263352"/>
    <w:rsid w:val="0026618C"/>
    <w:rsid w:val="002775FA"/>
    <w:rsid w:val="00282C3B"/>
    <w:rsid w:val="00297052"/>
    <w:rsid w:val="002B0EDB"/>
    <w:rsid w:val="002B509A"/>
    <w:rsid w:val="002B689C"/>
    <w:rsid w:val="002C4863"/>
    <w:rsid w:val="002C5A0C"/>
    <w:rsid w:val="002C688A"/>
    <w:rsid w:val="002D4A2A"/>
    <w:rsid w:val="002E4AB3"/>
    <w:rsid w:val="002F03CE"/>
    <w:rsid w:val="002F4A41"/>
    <w:rsid w:val="00305BFE"/>
    <w:rsid w:val="00306C1A"/>
    <w:rsid w:val="0031770A"/>
    <w:rsid w:val="003202BF"/>
    <w:rsid w:val="003211B0"/>
    <w:rsid w:val="00325560"/>
    <w:rsid w:val="00331C62"/>
    <w:rsid w:val="00334770"/>
    <w:rsid w:val="00341D0A"/>
    <w:rsid w:val="00342DEA"/>
    <w:rsid w:val="003440DA"/>
    <w:rsid w:val="003526AE"/>
    <w:rsid w:val="0035275C"/>
    <w:rsid w:val="00364E67"/>
    <w:rsid w:val="003663FA"/>
    <w:rsid w:val="00367AE5"/>
    <w:rsid w:val="00382953"/>
    <w:rsid w:val="00384DDF"/>
    <w:rsid w:val="003916B9"/>
    <w:rsid w:val="003A4098"/>
    <w:rsid w:val="003A4B8B"/>
    <w:rsid w:val="003A4D3F"/>
    <w:rsid w:val="003B5665"/>
    <w:rsid w:val="003B7806"/>
    <w:rsid w:val="003C0EAF"/>
    <w:rsid w:val="003C2A83"/>
    <w:rsid w:val="003C3949"/>
    <w:rsid w:val="003C53D8"/>
    <w:rsid w:val="003C5A91"/>
    <w:rsid w:val="003E0372"/>
    <w:rsid w:val="003E2C3D"/>
    <w:rsid w:val="003E6ED4"/>
    <w:rsid w:val="003F14C4"/>
    <w:rsid w:val="0040006D"/>
    <w:rsid w:val="00401B72"/>
    <w:rsid w:val="004042DB"/>
    <w:rsid w:val="00405486"/>
    <w:rsid w:val="00410472"/>
    <w:rsid w:val="00413D52"/>
    <w:rsid w:val="00414858"/>
    <w:rsid w:val="004155FF"/>
    <w:rsid w:val="0042342D"/>
    <w:rsid w:val="00424544"/>
    <w:rsid w:val="00430ABB"/>
    <w:rsid w:val="00432720"/>
    <w:rsid w:val="00432798"/>
    <w:rsid w:val="004366FE"/>
    <w:rsid w:val="004376C8"/>
    <w:rsid w:val="00440103"/>
    <w:rsid w:val="004447DE"/>
    <w:rsid w:val="004458BE"/>
    <w:rsid w:val="00451882"/>
    <w:rsid w:val="00455217"/>
    <w:rsid w:val="00456524"/>
    <w:rsid w:val="00464EBF"/>
    <w:rsid w:val="00472EB0"/>
    <w:rsid w:val="00473AFC"/>
    <w:rsid w:val="004820B7"/>
    <w:rsid w:val="00485806"/>
    <w:rsid w:val="00491C27"/>
    <w:rsid w:val="00493B70"/>
    <w:rsid w:val="00495B29"/>
    <w:rsid w:val="004A2EAE"/>
    <w:rsid w:val="004A2EB5"/>
    <w:rsid w:val="004A2F78"/>
    <w:rsid w:val="004A6636"/>
    <w:rsid w:val="004B6831"/>
    <w:rsid w:val="004D0E80"/>
    <w:rsid w:val="004D2B7D"/>
    <w:rsid w:val="004E5CB1"/>
    <w:rsid w:val="004E6572"/>
    <w:rsid w:val="004E6C89"/>
    <w:rsid w:val="004F0C51"/>
    <w:rsid w:val="004F522B"/>
    <w:rsid w:val="004F555D"/>
    <w:rsid w:val="005038DD"/>
    <w:rsid w:val="005046B7"/>
    <w:rsid w:val="00512F63"/>
    <w:rsid w:val="005165DA"/>
    <w:rsid w:val="005175BC"/>
    <w:rsid w:val="00521D06"/>
    <w:rsid w:val="00525BE7"/>
    <w:rsid w:val="00525FB7"/>
    <w:rsid w:val="005261C2"/>
    <w:rsid w:val="00533CD9"/>
    <w:rsid w:val="00540017"/>
    <w:rsid w:val="00542840"/>
    <w:rsid w:val="005437ED"/>
    <w:rsid w:val="00544266"/>
    <w:rsid w:val="00546E64"/>
    <w:rsid w:val="00550D20"/>
    <w:rsid w:val="005605BD"/>
    <w:rsid w:val="0056154E"/>
    <w:rsid w:val="00565207"/>
    <w:rsid w:val="00571053"/>
    <w:rsid w:val="005776DD"/>
    <w:rsid w:val="0058620F"/>
    <w:rsid w:val="00591E0E"/>
    <w:rsid w:val="005924F9"/>
    <w:rsid w:val="00594591"/>
    <w:rsid w:val="005A28A8"/>
    <w:rsid w:val="005A4EA3"/>
    <w:rsid w:val="005A59F7"/>
    <w:rsid w:val="005A74EA"/>
    <w:rsid w:val="005A7BE1"/>
    <w:rsid w:val="005A7C2F"/>
    <w:rsid w:val="005B1E80"/>
    <w:rsid w:val="005B7CA3"/>
    <w:rsid w:val="005C2530"/>
    <w:rsid w:val="005C3DE8"/>
    <w:rsid w:val="005D2BAB"/>
    <w:rsid w:val="005D5CAC"/>
    <w:rsid w:val="005E77CA"/>
    <w:rsid w:val="005F0513"/>
    <w:rsid w:val="005F6ADB"/>
    <w:rsid w:val="005F703C"/>
    <w:rsid w:val="00601707"/>
    <w:rsid w:val="006054B0"/>
    <w:rsid w:val="00610DF4"/>
    <w:rsid w:val="00610FF8"/>
    <w:rsid w:val="0061575A"/>
    <w:rsid w:val="00623A4E"/>
    <w:rsid w:val="00624061"/>
    <w:rsid w:val="00630A92"/>
    <w:rsid w:val="006351B5"/>
    <w:rsid w:val="00645477"/>
    <w:rsid w:val="00651ED9"/>
    <w:rsid w:val="00653453"/>
    <w:rsid w:val="0065651C"/>
    <w:rsid w:val="006603E6"/>
    <w:rsid w:val="006614CF"/>
    <w:rsid w:val="00663C26"/>
    <w:rsid w:val="00666D6F"/>
    <w:rsid w:val="006708B0"/>
    <w:rsid w:val="00671668"/>
    <w:rsid w:val="00686F9E"/>
    <w:rsid w:val="00693177"/>
    <w:rsid w:val="006975EA"/>
    <w:rsid w:val="006A37CD"/>
    <w:rsid w:val="006A39EE"/>
    <w:rsid w:val="006C1482"/>
    <w:rsid w:val="006D008B"/>
    <w:rsid w:val="006E23FB"/>
    <w:rsid w:val="006F69B5"/>
    <w:rsid w:val="0070137C"/>
    <w:rsid w:val="0070436C"/>
    <w:rsid w:val="00706ABD"/>
    <w:rsid w:val="00706D67"/>
    <w:rsid w:val="00711173"/>
    <w:rsid w:val="00725B70"/>
    <w:rsid w:val="00732CBC"/>
    <w:rsid w:val="0073618B"/>
    <w:rsid w:val="00736366"/>
    <w:rsid w:val="00737279"/>
    <w:rsid w:val="007524BA"/>
    <w:rsid w:val="007527F8"/>
    <w:rsid w:val="00753510"/>
    <w:rsid w:val="00753DD4"/>
    <w:rsid w:val="00754ED7"/>
    <w:rsid w:val="0076001F"/>
    <w:rsid w:val="00762204"/>
    <w:rsid w:val="007920E0"/>
    <w:rsid w:val="007A38E7"/>
    <w:rsid w:val="007A4EF7"/>
    <w:rsid w:val="007A536C"/>
    <w:rsid w:val="007B083F"/>
    <w:rsid w:val="007B2CC9"/>
    <w:rsid w:val="007B6F64"/>
    <w:rsid w:val="007B7FB8"/>
    <w:rsid w:val="007C22EF"/>
    <w:rsid w:val="007C75AD"/>
    <w:rsid w:val="007D69D4"/>
    <w:rsid w:val="007E657E"/>
    <w:rsid w:val="007F1CF6"/>
    <w:rsid w:val="008016EB"/>
    <w:rsid w:val="008029C4"/>
    <w:rsid w:val="00807FCE"/>
    <w:rsid w:val="00824568"/>
    <w:rsid w:val="008276F4"/>
    <w:rsid w:val="0083422F"/>
    <w:rsid w:val="00851591"/>
    <w:rsid w:val="00852D01"/>
    <w:rsid w:val="00856B7B"/>
    <w:rsid w:val="00867C4C"/>
    <w:rsid w:val="00871C74"/>
    <w:rsid w:val="00874789"/>
    <w:rsid w:val="0087479D"/>
    <w:rsid w:val="008760D5"/>
    <w:rsid w:val="008778A7"/>
    <w:rsid w:val="00881294"/>
    <w:rsid w:val="00882D66"/>
    <w:rsid w:val="00884F75"/>
    <w:rsid w:val="00893E85"/>
    <w:rsid w:val="00894EFD"/>
    <w:rsid w:val="008950EC"/>
    <w:rsid w:val="00895CB4"/>
    <w:rsid w:val="008A2ED1"/>
    <w:rsid w:val="008B1CD0"/>
    <w:rsid w:val="008B45D0"/>
    <w:rsid w:val="008C0C59"/>
    <w:rsid w:val="008C58CD"/>
    <w:rsid w:val="008C7C3E"/>
    <w:rsid w:val="008D1EEF"/>
    <w:rsid w:val="008D1FCD"/>
    <w:rsid w:val="008E06F6"/>
    <w:rsid w:val="008E2FE4"/>
    <w:rsid w:val="008E4976"/>
    <w:rsid w:val="008F4F28"/>
    <w:rsid w:val="008F5E53"/>
    <w:rsid w:val="008F6610"/>
    <w:rsid w:val="009069BC"/>
    <w:rsid w:val="00913A96"/>
    <w:rsid w:val="0092113C"/>
    <w:rsid w:val="009227AA"/>
    <w:rsid w:val="00923B3A"/>
    <w:rsid w:val="00926CE4"/>
    <w:rsid w:val="0093247F"/>
    <w:rsid w:val="00936F16"/>
    <w:rsid w:val="009434B8"/>
    <w:rsid w:val="009438AF"/>
    <w:rsid w:val="00944826"/>
    <w:rsid w:val="00950173"/>
    <w:rsid w:val="00951724"/>
    <w:rsid w:val="009519D5"/>
    <w:rsid w:val="00954FCD"/>
    <w:rsid w:val="0097010B"/>
    <w:rsid w:val="00974FA1"/>
    <w:rsid w:val="00975122"/>
    <w:rsid w:val="0097674D"/>
    <w:rsid w:val="00977B13"/>
    <w:rsid w:val="0098089A"/>
    <w:rsid w:val="00991891"/>
    <w:rsid w:val="009A1266"/>
    <w:rsid w:val="009A4894"/>
    <w:rsid w:val="009B182A"/>
    <w:rsid w:val="009B4B85"/>
    <w:rsid w:val="009C2FB0"/>
    <w:rsid w:val="009C418F"/>
    <w:rsid w:val="009D1120"/>
    <w:rsid w:val="009D1945"/>
    <w:rsid w:val="009E168E"/>
    <w:rsid w:val="009F5CF5"/>
    <w:rsid w:val="009F72B1"/>
    <w:rsid w:val="00A02FF2"/>
    <w:rsid w:val="00A1182B"/>
    <w:rsid w:val="00A148E3"/>
    <w:rsid w:val="00A163C0"/>
    <w:rsid w:val="00A23BC1"/>
    <w:rsid w:val="00A23D1F"/>
    <w:rsid w:val="00A2453B"/>
    <w:rsid w:val="00A2796D"/>
    <w:rsid w:val="00A352BF"/>
    <w:rsid w:val="00A36DBC"/>
    <w:rsid w:val="00A41558"/>
    <w:rsid w:val="00A42035"/>
    <w:rsid w:val="00A50BCF"/>
    <w:rsid w:val="00A53725"/>
    <w:rsid w:val="00A54787"/>
    <w:rsid w:val="00A8294D"/>
    <w:rsid w:val="00A829C7"/>
    <w:rsid w:val="00A9242E"/>
    <w:rsid w:val="00A9270E"/>
    <w:rsid w:val="00A96D0F"/>
    <w:rsid w:val="00A97520"/>
    <w:rsid w:val="00AA0FE7"/>
    <w:rsid w:val="00AA2391"/>
    <w:rsid w:val="00AA304E"/>
    <w:rsid w:val="00AA7497"/>
    <w:rsid w:val="00AB7679"/>
    <w:rsid w:val="00AD13E1"/>
    <w:rsid w:val="00AD7430"/>
    <w:rsid w:val="00AE3F7F"/>
    <w:rsid w:val="00B210F8"/>
    <w:rsid w:val="00B2291C"/>
    <w:rsid w:val="00B3572A"/>
    <w:rsid w:val="00B379A6"/>
    <w:rsid w:val="00B43394"/>
    <w:rsid w:val="00B47EE0"/>
    <w:rsid w:val="00B62631"/>
    <w:rsid w:val="00B6275F"/>
    <w:rsid w:val="00B6447E"/>
    <w:rsid w:val="00B75189"/>
    <w:rsid w:val="00B837B5"/>
    <w:rsid w:val="00B941DB"/>
    <w:rsid w:val="00BA0BFE"/>
    <w:rsid w:val="00BC010C"/>
    <w:rsid w:val="00BC0862"/>
    <w:rsid w:val="00BC2044"/>
    <w:rsid w:val="00BC6B6D"/>
    <w:rsid w:val="00BC7C9E"/>
    <w:rsid w:val="00BD333C"/>
    <w:rsid w:val="00BE0DC1"/>
    <w:rsid w:val="00C01F5F"/>
    <w:rsid w:val="00C210E9"/>
    <w:rsid w:val="00C26C8F"/>
    <w:rsid w:val="00C3103D"/>
    <w:rsid w:val="00C3575E"/>
    <w:rsid w:val="00C46083"/>
    <w:rsid w:val="00C46E96"/>
    <w:rsid w:val="00C473B2"/>
    <w:rsid w:val="00C550AC"/>
    <w:rsid w:val="00C57694"/>
    <w:rsid w:val="00C626CE"/>
    <w:rsid w:val="00C63266"/>
    <w:rsid w:val="00C63BF4"/>
    <w:rsid w:val="00C6588D"/>
    <w:rsid w:val="00C65F60"/>
    <w:rsid w:val="00C73518"/>
    <w:rsid w:val="00C743C9"/>
    <w:rsid w:val="00C80FE6"/>
    <w:rsid w:val="00C8289B"/>
    <w:rsid w:val="00C902A1"/>
    <w:rsid w:val="00C95D0F"/>
    <w:rsid w:val="00C9629C"/>
    <w:rsid w:val="00CA19E8"/>
    <w:rsid w:val="00CC0FD9"/>
    <w:rsid w:val="00CC18DD"/>
    <w:rsid w:val="00CD12DC"/>
    <w:rsid w:val="00CD3A56"/>
    <w:rsid w:val="00CD3CA8"/>
    <w:rsid w:val="00CD7820"/>
    <w:rsid w:val="00CE12EE"/>
    <w:rsid w:val="00CE1D67"/>
    <w:rsid w:val="00CF53EB"/>
    <w:rsid w:val="00CF6A18"/>
    <w:rsid w:val="00D059BD"/>
    <w:rsid w:val="00D16972"/>
    <w:rsid w:val="00D210EA"/>
    <w:rsid w:val="00D2204E"/>
    <w:rsid w:val="00D250A3"/>
    <w:rsid w:val="00D2756A"/>
    <w:rsid w:val="00D31E18"/>
    <w:rsid w:val="00D40F7F"/>
    <w:rsid w:val="00D417F3"/>
    <w:rsid w:val="00D41B05"/>
    <w:rsid w:val="00D41FF0"/>
    <w:rsid w:val="00D511B3"/>
    <w:rsid w:val="00D5619D"/>
    <w:rsid w:val="00D61486"/>
    <w:rsid w:val="00D64244"/>
    <w:rsid w:val="00D65440"/>
    <w:rsid w:val="00D65725"/>
    <w:rsid w:val="00D6633C"/>
    <w:rsid w:val="00D727AD"/>
    <w:rsid w:val="00D80F80"/>
    <w:rsid w:val="00D86B34"/>
    <w:rsid w:val="00DB0F2D"/>
    <w:rsid w:val="00DB6B54"/>
    <w:rsid w:val="00DC13DA"/>
    <w:rsid w:val="00DC5442"/>
    <w:rsid w:val="00DF0C5C"/>
    <w:rsid w:val="00DF2D70"/>
    <w:rsid w:val="00DF4017"/>
    <w:rsid w:val="00E032B1"/>
    <w:rsid w:val="00E04E4E"/>
    <w:rsid w:val="00E0730A"/>
    <w:rsid w:val="00E242CD"/>
    <w:rsid w:val="00E30596"/>
    <w:rsid w:val="00E32301"/>
    <w:rsid w:val="00E34B36"/>
    <w:rsid w:val="00E452F2"/>
    <w:rsid w:val="00E73A96"/>
    <w:rsid w:val="00E73B03"/>
    <w:rsid w:val="00E74D5B"/>
    <w:rsid w:val="00E810E1"/>
    <w:rsid w:val="00E824E6"/>
    <w:rsid w:val="00E86026"/>
    <w:rsid w:val="00E9407C"/>
    <w:rsid w:val="00E95104"/>
    <w:rsid w:val="00EA4798"/>
    <w:rsid w:val="00EB098F"/>
    <w:rsid w:val="00EC381D"/>
    <w:rsid w:val="00EC5436"/>
    <w:rsid w:val="00EC5752"/>
    <w:rsid w:val="00EC57C1"/>
    <w:rsid w:val="00EC5FFA"/>
    <w:rsid w:val="00ED0A56"/>
    <w:rsid w:val="00ED2618"/>
    <w:rsid w:val="00ED2A2A"/>
    <w:rsid w:val="00ED5E0F"/>
    <w:rsid w:val="00EE0A20"/>
    <w:rsid w:val="00EE1980"/>
    <w:rsid w:val="00EF081C"/>
    <w:rsid w:val="00EF4ADE"/>
    <w:rsid w:val="00F17D29"/>
    <w:rsid w:val="00F22289"/>
    <w:rsid w:val="00F25495"/>
    <w:rsid w:val="00F2742A"/>
    <w:rsid w:val="00F34A2F"/>
    <w:rsid w:val="00F35758"/>
    <w:rsid w:val="00F40829"/>
    <w:rsid w:val="00F41225"/>
    <w:rsid w:val="00F42747"/>
    <w:rsid w:val="00F43912"/>
    <w:rsid w:val="00F43FA5"/>
    <w:rsid w:val="00F470BC"/>
    <w:rsid w:val="00F4714A"/>
    <w:rsid w:val="00F472A5"/>
    <w:rsid w:val="00F501E0"/>
    <w:rsid w:val="00F604F0"/>
    <w:rsid w:val="00F65E7C"/>
    <w:rsid w:val="00F66B83"/>
    <w:rsid w:val="00F84DEB"/>
    <w:rsid w:val="00F903E3"/>
    <w:rsid w:val="00F94DD8"/>
    <w:rsid w:val="00FA2450"/>
    <w:rsid w:val="00FA3C43"/>
    <w:rsid w:val="00FA504E"/>
    <w:rsid w:val="00FA65EA"/>
    <w:rsid w:val="00FB640B"/>
    <w:rsid w:val="00FC64D2"/>
    <w:rsid w:val="00FC6D74"/>
    <w:rsid w:val="00FD5B24"/>
    <w:rsid w:val="00FE0771"/>
    <w:rsid w:val="00FE4833"/>
    <w:rsid w:val="00FE4B09"/>
    <w:rsid w:val="00FF7E62"/>
    <w:rsid w:val="27CFB70D"/>
    <w:rsid w:val="2C09DE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84129"/>
  <w15:chartTrackingRefBased/>
  <w15:docId w15:val="{B1CA8C9C-4AEF-4414-A7FD-03D6E3FB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752"/>
    <w:pPr>
      <w:spacing w:after="120"/>
    </w:pPr>
    <w:rPr>
      <w:rFonts w:asciiTheme="minorHAnsi" w:eastAsia="Times New Roman" w:hAnsiTheme="minorHAnsi"/>
      <w:sz w:val="22"/>
      <w:lang w:eastAsia="en-US"/>
    </w:rPr>
  </w:style>
  <w:style w:type="paragraph" w:styleId="Heading1">
    <w:name w:val="heading 1"/>
    <w:basedOn w:val="Normal"/>
    <w:next w:val="Normal"/>
    <w:link w:val="Heading1Char"/>
    <w:qFormat/>
    <w:rsid w:val="00A02FF2"/>
    <w:pPr>
      <w:keepNext/>
      <w:keepLines/>
      <w:spacing w:before="120"/>
      <w:outlineLvl w:val="0"/>
    </w:pPr>
    <w:rPr>
      <w:rFonts w:ascii="Calibri Light" w:hAnsi="Calibri Light"/>
      <w:color w:val="404040" w:themeColor="text1" w:themeTint="BF"/>
      <w:sz w:val="48"/>
      <w:szCs w:val="32"/>
    </w:rPr>
  </w:style>
  <w:style w:type="paragraph" w:styleId="Heading2">
    <w:name w:val="heading 2"/>
    <w:basedOn w:val="Normal"/>
    <w:next w:val="Normal"/>
    <w:link w:val="Heading2Char"/>
    <w:unhideWhenUsed/>
    <w:qFormat/>
    <w:rsid w:val="00A02FF2"/>
    <w:pPr>
      <w:keepNext/>
      <w:keepLines/>
      <w:spacing w:before="120"/>
      <w:outlineLvl w:val="1"/>
    </w:pPr>
    <w:rPr>
      <w:rFonts w:ascii="Calibri Light" w:hAnsi="Calibri Light"/>
      <w:color w:val="404040" w:themeColor="text1" w:themeTint="BF"/>
      <w:sz w:val="40"/>
      <w:szCs w:val="26"/>
    </w:rPr>
  </w:style>
  <w:style w:type="paragraph" w:styleId="Heading3">
    <w:name w:val="heading 3"/>
    <w:basedOn w:val="Normal"/>
    <w:next w:val="Normal"/>
    <w:link w:val="Heading3Char"/>
    <w:unhideWhenUsed/>
    <w:qFormat/>
    <w:rsid w:val="00A02FF2"/>
    <w:pPr>
      <w:keepNext/>
      <w:keepLines/>
      <w:spacing w:before="120"/>
      <w:outlineLvl w:val="2"/>
    </w:pPr>
    <w:rPr>
      <w:rFonts w:ascii="Calibri Light" w:hAnsi="Calibri Light"/>
      <w:color w:val="404040" w:themeColor="text1" w:themeTint="BF"/>
      <w:sz w:val="32"/>
      <w:szCs w:val="24"/>
    </w:rPr>
  </w:style>
  <w:style w:type="paragraph" w:styleId="Heading4">
    <w:name w:val="heading 4"/>
    <w:basedOn w:val="Normal"/>
    <w:next w:val="Normal"/>
    <w:link w:val="Heading4Char"/>
    <w:uiPriority w:val="9"/>
    <w:unhideWhenUsed/>
    <w:qFormat/>
    <w:rsid w:val="00430ABB"/>
    <w:pPr>
      <w:keepNext/>
      <w:keepLines/>
      <w:spacing w:before="120"/>
      <w:outlineLvl w:val="3"/>
    </w:pPr>
    <w:rPr>
      <w:rFonts w:asciiTheme="majorHAnsi" w:eastAsiaTheme="majorEastAsia" w:hAnsiTheme="majorHAnsi" w:cstheme="majorBidi"/>
      <w:iCs/>
      <w:color w:val="404040" w:themeColor="text1" w:themeTint="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33C"/>
    <w:pPr>
      <w:tabs>
        <w:tab w:val="center" w:pos="4513"/>
        <w:tab w:val="right" w:pos="9026"/>
      </w:tabs>
    </w:pPr>
  </w:style>
  <w:style w:type="character" w:customStyle="1" w:styleId="HeaderChar">
    <w:name w:val="Header Char"/>
    <w:basedOn w:val="DefaultParagraphFont"/>
    <w:link w:val="Header"/>
    <w:uiPriority w:val="99"/>
    <w:rsid w:val="00D6633C"/>
  </w:style>
  <w:style w:type="paragraph" w:styleId="Footer">
    <w:name w:val="footer"/>
    <w:basedOn w:val="Normal"/>
    <w:link w:val="FooterChar"/>
    <w:uiPriority w:val="99"/>
    <w:unhideWhenUsed/>
    <w:rsid w:val="00D6633C"/>
    <w:pPr>
      <w:tabs>
        <w:tab w:val="center" w:pos="4513"/>
        <w:tab w:val="right" w:pos="9026"/>
      </w:tabs>
    </w:pPr>
  </w:style>
  <w:style w:type="character" w:customStyle="1" w:styleId="FooterChar">
    <w:name w:val="Footer Char"/>
    <w:basedOn w:val="DefaultParagraphFont"/>
    <w:link w:val="Footer"/>
    <w:uiPriority w:val="99"/>
    <w:rsid w:val="00D6633C"/>
  </w:style>
  <w:style w:type="paragraph" w:styleId="Title">
    <w:name w:val="Title"/>
    <w:basedOn w:val="Normal"/>
    <w:next w:val="Normal"/>
    <w:link w:val="TitleChar"/>
    <w:uiPriority w:val="10"/>
    <w:qFormat/>
    <w:rsid w:val="00D6633C"/>
    <w:pPr>
      <w:contextualSpacing/>
    </w:pPr>
    <w:rPr>
      <w:rFonts w:ascii="Calibri Light" w:hAnsi="Calibri Light"/>
      <w:spacing w:val="-10"/>
      <w:kern w:val="28"/>
      <w:sz w:val="56"/>
      <w:szCs w:val="56"/>
    </w:rPr>
  </w:style>
  <w:style w:type="character" w:customStyle="1" w:styleId="TitleChar">
    <w:name w:val="Title Char"/>
    <w:link w:val="Title"/>
    <w:uiPriority w:val="10"/>
    <w:rsid w:val="00D6633C"/>
    <w:rPr>
      <w:rFonts w:ascii="Calibri Light" w:eastAsia="Times New Roman" w:hAnsi="Calibri Light" w:cs="Times New Roman"/>
      <w:spacing w:val="-10"/>
      <w:kern w:val="28"/>
      <w:sz w:val="56"/>
      <w:szCs w:val="56"/>
    </w:rPr>
  </w:style>
  <w:style w:type="paragraph" w:styleId="PlainText">
    <w:name w:val="Plain Text"/>
    <w:basedOn w:val="Normal"/>
    <w:link w:val="PlainTextChar"/>
    <w:uiPriority w:val="99"/>
    <w:rsid w:val="00D6633C"/>
    <w:rPr>
      <w:rFonts w:ascii="Courier New" w:hAnsi="Courier New"/>
    </w:rPr>
  </w:style>
  <w:style w:type="character" w:customStyle="1" w:styleId="PlainTextChar">
    <w:name w:val="Plain Text Char"/>
    <w:link w:val="PlainText"/>
    <w:uiPriority w:val="99"/>
    <w:rsid w:val="00D6633C"/>
    <w:rPr>
      <w:rFonts w:ascii="Courier New" w:eastAsia="Times New Roman" w:hAnsi="Courier New" w:cs="Times New Roman"/>
      <w:szCs w:val="20"/>
    </w:rPr>
  </w:style>
  <w:style w:type="character" w:styleId="Hyperlink">
    <w:name w:val="Hyperlink"/>
    <w:uiPriority w:val="99"/>
    <w:rsid w:val="00D6633C"/>
    <w:rPr>
      <w:color w:val="0000FF"/>
      <w:u w:val="single"/>
    </w:rPr>
  </w:style>
  <w:style w:type="paragraph" w:styleId="ListParagraph">
    <w:name w:val="List Paragraph"/>
    <w:basedOn w:val="Normal"/>
    <w:qFormat/>
    <w:rsid w:val="007A38E7"/>
    <w:pPr>
      <w:ind w:left="720"/>
      <w:contextualSpacing/>
    </w:pPr>
  </w:style>
  <w:style w:type="paragraph" w:styleId="BalloonText">
    <w:name w:val="Balloon Text"/>
    <w:basedOn w:val="Normal"/>
    <w:link w:val="BalloonTextChar"/>
    <w:uiPriority w:val="99"/>
    <w:semiHidden/>
    <w:unhideWhenUsed/>
    <w:rsid w:val="00594591"/>
    <w:rPr>
      <w:rFonts w:ascii="Segoe UI" w:hAnsi="Segoe UI" w:cs="Segoe UI"/>
      <w:sz w:val="18"/>
      <w:szCs w:val="18"/>
    </w:rPr>
  </w:style>
  <w:style w:type="character" w:customStyle="1" w:styleId="BalloonTextChar">
    <w:name w:val="Balloon Text Char"/>
    <w:link w:val="BalloonText"/>
    <w:uiPriority w:val="99"/>
    <w:semiHidden/>
    <w:rsid w:val="00594591"/>
    <w:rPr>
      <w:rFonts w:ascii="Segoe UI" w:eastAsia="Times New Roman" w:hAnsi="Segoe UI" w:cs="Segoe UI"/>
      <w:sz w:val="18"/>
      <w:szCs w:val="18"/>
    </w:rPr>
  </w:style>
  <w:style w:type="character" w:customStyle="1" w:styleId="Heading1Char">
    <w:name w:val="Heading 1 Char"/>
    <w:basedOn w:val="DefaultParagraphFont"/>
    <w:link w:val="Heading1"/>
    <w:rsid w:val="00A02FF2"/>
    <w:rPr>
      <w:rFonts w:ascii="Calibri Light" w:eastAsia="Times New Roman" w:hAnsi="Calibri Light"/>
      <w:color w:val="404040" w:themeColor="text1" w:themeTint="BF"/>
      <w:sz w:val="48"/>
      <w:szCs w:val="32"/>
      <w:lang w:eastAsia="en-US"/>
    </w:rPr>
  </w:style>
  <w:style w:type="character" w:customStyle="1" w:styleId="Heading2Char">
    <w:name w:val="Heading 2 Char"/>
    <w:basedOn w:val="DefaultParagraphFont"/>
    <w:link w:val="Heading2"/>
    <w:rsid w:val="00A02FF2"/>
    <w:rPr>
      <w:rFonts w:ascii="Calibri Light" w:eastAsia="Times New Roman" w:hAnsi="Calibri Light"/>
      <w:color w:val="404040" w:themeColor="text1" w:themeTint="BF"/>
      <w:sz w:val="40"/>
      <w:szCs w:val="26"/>
      <w:lang w:eastAsia="en-US"/>
    </w:rPr>
  </w:style>
  <w:style w:type="character" w:customStyle="1" w:styleId="Heading3Char">
    <w:name w:val="Heading 3 Char"/>
    <w:basedOn w:val="DefaultParagraphFont"/>
    <w:link w:val="Heading3"/>
    <w:rsid w:val="00A02FF2"/>
    <w:rPr>
      <w:rFonts w:ascii="Calibri Light" w:eastAsia="Times New Roman" w:hAnsi="Calibri Light"/>
      <w:color w:val="404040" w:themeColor="text1" w:themeTint="BF"/>
      <w:sz w:val="32"/>
      <w:szCs w:val="24"/>
      <w:lang w:eastAsia="en-US"/>
    </w:rPr>
  </w:style>
  <w:style w:type="paragraph" w:styleId="TOCHeading">
    <w:name w:val="TOC Heading"/>
    <w:basedOn w:val="Heading1"/>
    <w:next w:val="Normal"/>
    <w:uiPriority w:val="39"/>
    <w:unhideWhenUsed/>
    <w:qFormat/>
    <w:rsid w:val="00BC0862"/>
    <w:pPr>
      <w:spacing w:line="259" w:lineRule="auto"/>
      <w:outlineLvl w:val="9"/>
    </w:pPr>
    <w:rPr>
      <w:lang w:val="en-US"/>
    </w:rPr>
  </w:style>
  <w:style w:type="paragraph" w:styleId="TOC1">
    <w:name w:val="toc 1"/>
    <w:basedOn w:val="Normal"/>
    <w:next w:val="Normal"/>
    <w:autoRedefine/>
    <w:uiPriority w:val="39"/>
    <w:rsid w:val="00BC0862"/>
    <w:pPr>
      <w:spacing w:after="100"/>
    </w:pPr>
  </w:style>
  <w:style w:type="paragraph" w:styleId="TOC2">
    <w:name w:val="toc 2"/>
    <w:basedOn w:val="Normal"/>
    <w:next w:val="Normal"/>
    <w:autoRedefine/>
    <w:uiPriority w:val="39"/>
    <w:rsid w:val="00BC0862"/>
    <w:pPr>
      <w:spacing w:after="100"/>
      <w:ind w:left="220"/>
    </w:pPr>
  </w:style>
  <w:style w:type="paragraph" w:styleId="TOC3">
    <w:name w:val="toc 3"/>
    <w:basedOn w:val="Normal"/>
    <w:next w:val="Normal"/>
    <w:autoRedefine/>
    <w:uiPriority w:val="39"/>
    <w:rsid w:val="00BC0862"/>
    <w:pPr>
      <w:spacing w:after="100"/>
      <w:ind w:left="440"/>
    </w:pPr>
  </w:style>
  <w:style w:type="table" w:styleId="TableGrid">
    <w:name w:val="Table Grid"/>
    <w:basedOn w:val="TableNormal"/>
    <w:uiPriority w:val="39"/>
    <w:rsid w:val="00BC08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51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941DB"/>
    <w:rPr>
      <w:color w:val="808080"/>
    </w:rPr>
  </w:style>
  <w:style w:type="character" w:styleId="FollowedHyperlink">
    <w:name w:val="FollowedHyperlink"/>
    <w:basedOn w:val="DefaultParagraphFont"/>
    <w:uiPriority w:val="99"/>
    <w:semiHidden/>
    <w:unhideWhenUsed/>
    <w:rsid w:val="00D417F3"/>
    <w:rPr>
      <w:color w:val="954F72" w:themeColor="followedHyperlink"/>
      <w:u w:val="single"/>
    </w:rPr>
  </w:style>
  <w:style w:type="character" w:customStyle="1" w:styleId="Heading4Char">
    <w:name w:val="Heading 4 Char"/>
    <w:basedOn w:val="DefaultParagraphFont"/>
    <w:link w:val="Heading4"/>
    <w:uiPriority w:val="9"/>
    <w:rsid w:val="00430ABB"/>
    <w:rPr>
      <w:rFonts w:asciiTheme="majorHAnsi" w:eastAsiaTheme="majorEastAsia" w:hAnsiTheme="majorHAnsi" w:cstheme="majorBidi"/>
      <w:iCs/>
      <w:color w:val="404040" w:themeColor="text1" w:themeTint="BF"/>
      <w:sz w:val="28"/>
      <w:lang w:eastAsia="en-US"/>
    </w:rPr>
  </w:style>
  <w:style w:type="character" w:styleId="UnresolvedMention">
    <w:name w:val="Unresolved Mention"/>
    <w:basedOn w:val="DefaultParagraphFont"/>
    <w:uiPriority w:val="99"/>
    <w:semiHidden/>
    <w:unhideWhenUsed/>
    <w:rsid w:val="00525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8210">
      <w:bodyDiv w:val="1"/>
      <w:marLeft w:val="0"/>
      <w:marRight w:val="0"/>
      <w:marTop w:val="0"/>
      <w:marBottom w:val="0"/>
      <w:divBdr>
        <w:top w:val="none" w:sz="0" w:space="0" w:color="auto"/>
        <w:left w:val="none" w:sz="0" w:space="0" w:color="auto"/>
        <w:bottom w:val="none" w:sz="0" w:space="0" w:color="auto"/>
        <w:right w:val="none" w:sz="0" w:space="0" w:color="auto"/>
      </w:divBdr>
    </w:div>
    <w:div w:id="555355072">
      <w:bodyDiv w:val="1"/>
      <w:marLeft w:val="0"/>
      <w:marRight w:val="0"/>
      <w:marTop w:val="0"/>
      <w:marBottom w:val="0"/>
      <w:divBdr>
        <w:top w:val="none" w:sz="0" w:space="0" w:color="auto"/>
        <w:left w:val="none" w:sz="0" w:space="0" w:color="auto"/>
        <w:bottom w:val="none" w:sz="0" w:space="0" w:color="auto"/>
        <w:right w:val="none" w:sz="0" w:space="0" w:color="auto"/>
      </w:divBdr>
    </w:div>
    <w:div w:id="562300486">
      <w:bodyDiv w:val="1"/>
      <w:marLeft w:val="0"/>
      <w:marRight w:val="0"/>
      <w:marTop w:val="0"/>
      <w:marBottom w:val="0"/>
      <w:divBdr>
        <w:top w:val="none" w:sz="0" w:space="0" w:color="auto"/>
        <w:left w:val="none" w:sz="0" w:space="0" w:color="auto"/>
        <w:bottom w:val="none" w:sz="0" w:space="0" w:color="auto"/>
        <w:right w:val="none" w:sz="0" w:space="0" w:color="auto"/>
      </w:divBdr>
    </w:div>
    <w:div w:id="823855891">
      <w:bodyDiv w:val="1"/>
      <w:marLeft w:val="0"/>
      <w:marRight w:val="0"/>
      <w:marTop w:val="0"/>
      <w:marBottom w:val="0"/>
      <w:divBdr>
        <w:top w:val="none" w:sz="0" w:space="0" w:color="auto"/>
        <w:left w:val="none" w:sz="0" w:space="0" w:color="auto"/>
        <w:bottom w:val="none" w:sz="0" w:space="0" w:color="auto"/>
        <w:right w:val="none" w:sz="0" w:space="0" w:color="auto"/>
      </w:divBdr>
    </w:div>
    <w:div w:id="862286579">
      <w:bodyDiv w:val="1"/>
      <w:marLeft w:val="0"/>
      <w:marRight w:val="0"/>
      <w:marTop w:val="0"/>
      <w:marBottom w:val="0"/>
      <w:divBdr>
        <w:top w:val="none" w:sz="0" w:space="0" w:color="auto"/>
        <w:left w:val="none" w:sz="0" w:space="0" w:color="auto"/>
        <w:bottom w:val="none" w:sz="0" w:space="0" w:color="auto"/>
        <w:right w:val="none" w:sz="0" w:space="0" w:color="auto"/>
      </w:divBdr>
    </w:div>
    <w:div w:id="944535733">
      <w:bodyDiv w:val="1"/>
      <w:marLeft w:val="0"/>
      <w:marRight w:val="0"/>
      <w:marTop w:val="0"/>
      <w:marBottom w:val="0"/>
      <w:divBdr>
        <w:top w:val="none" w:sz="0" w:space="0" w:color="auto"/>
        <w:left w:val="none" w:sz="0" w:space="0" w:color="auto"/>
        <w:bottom w:val="none" w:sz="0" w:space="0" w:color="auto"/>
        <w:right w:val="none" w:sz="0" w:space="0" w:color="auto"/>
      </w:divBdr>
    </w:div>
    <w:div w:id="974598504">
      <w:bodyDiv w:val="1"/>
      <w:marLeft w:val="0"/>
      <w:marRight w:val="0"/>
      <w:marTop w:val="0"/>
      <w:marBottom w:val="0"/>
      <w:divBdr>
        <w:top w:val="none" w:sz="0" w:space="0" w:color="auto"/>
        <w:left w:val="none" w:sz="0" w:space="0" w:color="auto"/>
        <w:bottom w:val="none" w:sz="0" w:space="0" w:color="auto"/>
        <w:right w:val="none" w:sz="0" w:space="0" w:color="auto"/>
      </w:divBdr>
    </w:div>
    <w:div w:id="1011840349">
      <w:bodyDiv w:val="1"/>
      <w:marLeft w:val="0"/>
      <w:marRight w:val="0"/>
      <w:marTop w:val="0"/>
      <w:marBottom w:val="0"/>
      <w:divBdr>
        <w:top w:val="none" w:sz="0" w:space="0" w:color="auto"/>
        <w:left w:val="none" w:sz="0" w:space="0" w:color="auto"/>
        <w:bottom w:val="none" w:sz="0" w:space="0" w:color="auto"/>
        <w:right w:val="none" w:sz="0" w:space="0" w:color="auto"/>
      </w:divBdr>
    </w:div>
    <w:div w:id="1083071019">
      <w:bodyDiv w:val="1"/>
      <w:marLeft w:val="0"/>
      <w:marRight w:val="0"/>
      <w:marTop w:val="0"/>
      <w:marBottom w:val="0"/>
      <w:divBdr>
        <w:top w:val="none" w:sz="0" w:space="0" w:color="auto"/>
        <w:left w:val="none" w:sz="0" w:space="0" w:color="auto"/>
        <w:bottom w:val="none" w:sz="0" w:space="0" w:color="auto"/>
        <w:right w:val="none" w:sz="0" w:space="0" w:color="auto"/>
      </w:divBdr>
    </w:div>
    <w:div w:id="1455171233">
      <w:bodyDiv w:val="1"/>
      <w:marLeft w:val="0"/>
      <w:marRight w:val="0"/>
      <w:marTop w:val="0"/>
      <w:marBottom w:val="0"/>
      <w:divBdr>
        <w:top w:val="none" w:sz="0" w:space="0" w:color="auto"/>
        <w:left w:val="none" w:sz="0" w:space="0" w:color="auto"/>
        <w:bottom w:val="none" w:sz="0" w:space="0" w:color="auto"/>
        <w:right w:val="none" w:sz="0" w:space="0" w:color="auto"/>
      </w:divBdr>
    </w:div>
    <w:div w:id="1580824153">
      <w:bodyDiv w:val="1"/>
      <w:marLeft w:val="0"/>
      <w:marRight w:val="0"/>
      <w:marTop w:val="0"/>
      <w:marBottom w:val="0"/>
      <w:divBdr>
        <w:top w:val="none" w:sz="0" w:space="0" w:color="auto"/>
        <w:left w:val="none" w:sz="0" w:space="0" w:color="auto"/>
        <w:bottom w:val="none" w:sz="0" w:space="0" w:color="auto"/>
        <w:right w:val="none" w:sz="0" w:space="0" w:color="auto"/>
      </w:divBdr>
    </w:div>
    <w:div w:id="16796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3480A0-5796-41E8-A1F1-CE262F26B6B3}">
  <we:reference id="wa10313616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07b3e7b0-e20a-49f0-8ff8-6066783d2c64" xsi:nil="true"/>
    <_dlc_DocId xmlns="07b3e7b0-e20a-49f0-8ff8-6066783d2c64">U24QX6JJP4FX-525145364-416</_dlc_DocId>
    <_dlc_DocIdUrl xmlns="07b3e7b0-e20a-49f0-8ff8-6066783d2c64">
      <Url>https://admnet.adm-computing.co.uk/_layouts/15/DocIdRedir.aspx?ID=U24QX6JJP4FX-525145364-416</Url>
      <Description>U24QX6JJP4FX-525145364-416</Description>
    </_dlc_DocIdUrl>
    <DLCPolicyLabelClientValue xmlns="07b3e7b0-e20a-49f0-8ff8-6066783d2c64">Version : {_UIVersionString}</DLCPolicyLabelClientValue>
    <DLCPolicyLabelLock xmlns="07b3e7b0-e20a-49f0-8ff8-6066783d2c64" xsi:nil="true"/>
    <DLCPolicyLabelValue xmlns="07b3e7b0-e20a-49f0-8ff8-6066783d2c64">Version : 6.0</DLCPolicyLabelValue>
    <Status xmlns="07b3e7b0-e20a-49f0-8ff8-6066783d2c64">Controlled</Status>
    <SharedWithUsers xmlns="07b3e7b0-e20a-49f0-8ff8-6066783d2c64">
      <UserInfo>
        <DisplayName/>
        <AccountId xsi:nil="true"/>
        <AccountType/>
      </UserInfo>
    </SharedWithUsers>
    <TaxCatchAll xmlns="3edea936-115e-41ab-9386-cbac65487e03" xsi:nil="true"/>
    <lcf76f155ced4ddcb4097134ff3c332f xmlns="07b3e7b0-e20a-49f0-8ff8-6066783d2c64">
      <Terms xmlns="http://schemas.microsoft.com/office/infopath/2007/PartnerControls"/>
    </lcf76f155ced4ddcb4097134ff3c332f>
  </documentManagement>
</p:properties>
</file>

<file path=customXml/item2.xml><?xml version="1.0" encoding="utf-8"?>
<?mso-contentType ?>
<p:Policy xmlns:p="office.server.policy" id="" local="true">
  <p:Name>Document</p:Name>
  <p:Description/>
  <p:Statement/>
  <p:PolicyItems>
    <p:PolicyItem featureId="Microsoft.Office.RecordsManagement.PolicyFeatures.PolicyLabel" staticId="0x01010092E98F26C1DD1B46B34BF4C05CCB2432|-2124591618" UniqueId="425739d1-2fae-42b9-abdb-37e3e54b2d6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2.5</height>
            <justification>Left</justification>
          </properties>
          <segment type="literal">Version : </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92E98F26C1DD1B46B34BF4C05CCB2432" ma:contentTypeVersion="31" ma:contentTypeDescription="Create a new document." ma:contentTypeScope="" ma:versionID="c912aed52bfd5d766a3017419dde7857">
  <xsd:schema xmlns:xsd="http://www.w3.org/2001/XMLSchema" xmlns:xs="http://www.w3.org/2001/XMLSchema" xmlns:p="http://schemas.microsoft.com/office/2006/metadata/properties" xmlns:ns1="http://schemas.microsoft.com/sharepoint/v3" xmlns:ns2="07b3e7b0-e20a-49f0-8ff8-6066783d2c64" xmlns:ns3="http://schemas.microsoft.com/sharepoint/v4" xmlns:ns4="3edea936-115e-41ab-9386-cbac65487e03" targetNamespace="http://schemas.microsoft.com/office/2006/metadata/properties" ma:root="true" ma:fieldsID="fcc8bffecbed00752495270b6d3aeb6c" ns1:_="" ns2:_="" ns3:_="" ns4:_="">
    <xsd:import namespace="http://schemas.microsoft.com/sharepoint/v3"/>
    <xsd:import namespace="07b3e7b0-e20a-49f0-8ff8-6066783d2c64"/>
    <xsd:import namespace="http://schemas.microsoft.com/sharepoint/v4"/>
    <xsd:import namespace="3edea936-115e-41ab-9386-cbac65487e0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2:DLCPolicyLabelValue" minOccurs="0"/>
                <xsd:element ref="ns2:DLCPolicyLabelClientValue" minOccurs="0"/>
                <xsd:element ref="ns2:DLCPolicyLabelLock"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4:SharedWithDetails" minOccurs="0"/>
                <xsd:element ref="ns1:_dlc_Exemp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b3e7b0-e20a-49f0-8ff8-6066783d2c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13"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6" nillable="true" ma:displayName="Status" ma:default="Controlled" ma:format="Dropdown" ma:internalName="Status" ma:readOnly="false">
      <xsd:simpleType>
        <xsd:restriction base="dms:Choice">
          <xsd:enumeration value="Controlled"/>
          <xsd:enumeration value="Company Confidential"/>
          <xsd:enumeration value="Public"/>
          <xsd:enumeration value="Client Confidential"/>
          <xsd:enumeration value="Restricted"/>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c5494d7-ef7d-4bfb-8f0f-a3e8500be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a936-115e-41ab-9386-cbac65487e03"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cea06b86-d2dc-43aa-956a-467df8665e94}" ma:internalName="TaxCatchAll" ma:showField="CatchAllData" ma:web="3edea936-115e-41ab-9386-cbac65487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1C270-A399-4039-AFDA-3B81AF09A95A}">
  <ds:schemaRefs>
    <ds:schemaRef ds:uri="http://schemas.microsoft.com/office/2006/metadata/properties"/>
    <ds:schemaRef ds:uri="http://schemas.microsoft.com/office/infopath/2007/PartnerControls"/>
    <ds:schemaRef ds:uri="http://schemas.microsoft.com/sharepoint/v4"/>
    <ds:schemaRef ds:uri="07b3e7b0-e20a-49f0-8ff8-6066783d2c64"/>
    <ds:schemaRef ds:uri="3edea936-115e-41ab-9386-cbac65487e03"/>
  </ds:schemaRefs>
</ds:datastoreItem>
</file>

<file path=customXml/itemProps2.xml><?xml version="1.0" encoding="utf-8"?>
<ds:datastoreItem xmlns:ds="http://schemas.openxmlformats.org/officeDocument/2006/customXml" ds:itemID="{CA67F0C2-CC2D-4FE7-A941-97C88D5F9994}">
  <ds:schemaRefs>
    <ds:schemaRef ds:uri="office.server.policy"/>
  </ds:schemaRefs>
</ds:datastoreItem>
</file>

<file path=customXml/itemProps3.xml><?xml version="1.0" encoding="utf-8"?>
<ds:datastoreItem xmlns:ds="http://schemas.openxmlformats.org/officeDocument/2006/customXml" ds:itemID="{5A357D1B-A3A1-41F2-B514-CFE827F6B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b3e7b0-e20a-49f0-8ff8-6066783d2c64"/>
    <ds:schemaRef ds:uri="http://schemas.microsoft.com/sharepoint/v4"/>
    <ds:schemaRef ds:uri="3edea936-115e-41ab-9386-cbac65487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57607-24F3-462C-AFFF-B9D80ADC8F91}">
  <ds:schemaRefs>
    <ds:schemaRef ds:uri="http://schemas.microsoft.com/sharepoint/v3/contenttype/forms"/>
  </ds:schemaRefs>
</ds:datastoreItem>
</file>

<file path=customXml/itemProps5.xml><?xml version="1.0" encoding="utf-8"?>
<ds:datastoreItem xmlns:ds="http://schemas.openxmlformats.org/officeDocument/2006/customXml" ds:itemID="{07EB90D8-04DE-47A7-9CA4-CD6F202C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2280</Words>
  <Characters>12998</Characters>
  <Application>Microsoft Office Word</Application>
  <DocSecurity>0</DocSecurity>
  <Lines>108</Lines>
  <Paragraphs>30</Paragraphs>
  <ScaleCrop>false</ScaleCrop>
  <Company>ADM Computing</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new template</dc:title>
  <dc:subject>EXAMPLE COMPANY</dc:subject>
  <dc:creator>AUTHOR</dc:creator>
  <cp:keywords>ADM Computing</cp:keywords>
  <dc:description/>
  <cp:lastModifiedBy>Kailas Bryant</cp:lastModifiedBy>
  <cp:revision>2</cp:revision>
  <cp:lastPrinted>2017-03-31T13:36:00Z</cp:lastPrinted>
  <dcterms:created xsi:type="dcterms:W3CDTF">2026-07-09T13:12:00Z</dcterms:created>
  <dcterms:modified xsi:type="dcterms:W3CDTF">2026-07-09T13:12:00Z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0x01010092E98F26C1DD1B46B34BF4C05CCB2432</vt:lpwstr>
  </property>
  <property fmtid="{D5CDD505-2E9C-101B-9397-08002B2CF9AE}" pid="3" name="URL">
    <vt:lpwstr/>
  </property>
  <property fmtid="{D5CDD505-2E9C-101B-9397-08002B2CF9AE}" pid="4" name="_dlc_DocIdItemGuid">
    <vt:lpwstr>9531063a-b843-4717-a8da-69ec635a4ed8</vt:lpwstr>
  </property>
  <property fmtid="{D5CDD505-2E9C-101B-9397-08002B2CF9AE}" pid="5" name="DLCPolicyLabelValue">
    <vt:lpwstr>Version : 2.0</vt:lpwstr>
  </property>
  <property fmtid="{D5CDD505-2E9C-101B-9397-08002B2CF9AE}" pid="6" name="DLCPolicyLabelClientValue">
    <vt:lpwstr>Version : {_UIVersionString}</vt:lpwstr>
  </property>
  <property fmtid="{D5CDD505-2E9C-101B-9397-08002B2CF9AE}" pid="7" name="Doc Type">
    <vt:lpwstr>Standard</vt:lpwstr>
  </property>
  <property fmtid="{D5CDD505-2E9C-101B-9397-08002B2CF9AE}" pid="8" name="Label">
    <vt:lpwstr>Version : 4.0</vt:lpwstr>
  </property>
  <property fmtid="{D5CDD505-2E9C-101B-9397-08002B2CF9AE}" pid="9" name="Document ID Value">
    <vt:lpwstr>U24QX6JJP4FX-525145364-416</vt:lpwstr>
  </property>
  <property fmtid="{D5CDD505-2E9C-101B-9397-08002B2CF9AE}" pid="10" name="Client Label Value">
    <vt:lpwstr>Version : {_UIVersionString}</vt:lpwstr>
  </property>
  <property fmtid="{D5CDD505-2E9C-101B-9397-08002B2CF9AE}" pid="11" name="MediaServiceImageTags">
    <vt:lpwstr/>
  </property>
  <property fmtid="{D5CDD505-2E9C-101B-9397-08002B2CF9AE}" pid="12" name="docLang">
    <vt:lpwstr>la</vt:lpwstr>
  </property>
</Properties>
</file>